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夏津县新型纺织特色产业集群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山东仁和纺织科技有限公司企业分析报告</w:t>
      </w:r>
    </w:p>
    <w:p>
      <w:pPr>
        <w:spacing w:lineRule="exact" w:line="600" w:before="0" w:after="0"/>
        <w:jc w:val="left"/>
      </w:pPr>
      <w:r>
        <w:rPr>
          <w:rFonts w:ascii="仿宋_GB2312" w:hAnsi="仿宋_GB2312" w:eastAsia="仿宋_GB2312"/>
          <w:b w:val="0"/>
          <w:color w:val="000000"/>
          <w:sz w:val="28"/>
        </w:rPr>
        <w:t>（本报告数据来源于天眼查、中国棉纺织行业协会官网、爱企查、德州日报/今日头条公开报道及国家企业信用信息公示系统，统计时点截至最新披露信息。该公司为非上市民营企业，部分经营数据（年产值、产能）来自公开报道并已标注；近期存在融资租赁纠纷等司法风险，已如实记录。）</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仁和纺织科技有限公司（工商登记名为夏津仁和纺织科技有限公司，统一社会信用代码91371427057940781Q）成立于2012年11月29日，法定代表人为蔡金南，注册地址位于山东省德州市夏津县银海路以东、银城路北侧。公司注册资本6549万元，企业类型为有限责任公司（自然人投资或控股），参保人数约580人（公开报道称员工900人）。</w:t>
      </w:r>
    </w:p>
    <w:p>
      <w:pPr>
        <w:spacing w:lineRule="exact" w:line="600" w:before="0" w:after="0"/>
        <w:ind w:firstLine="420"/>
        <w:jc w:val="both"/>
      </w:pPr>
      <w:r>
        <w:rPr>
          <w:rFonts w:ascii="仿宋_GB2312" w:hAnsi="仿宋_GB2312" w:eastAsia="仿宋_GB2312"/>
          <w:b w:val="0"/>
          <w:color w:val="000000"/>
          <w:sz w:val="32"/>
        </w:rPr>
        <w:t>公司系夏津县棉纺织产业集群龙头企业之一，专注高品质纱线研发生产，是国家级高新技术企业（2025年认定）、山东省专精特新中小企业、创新型中小企业及A级纳税人。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公司为民营控股企业，设生产、研发、销售等职能体系。公开信息显示其拥有省级院士工作站、省级企业技术中心等研发平台，研发组织较为健全；未公开控股或重要参股子公司。</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成立于2012年，成立之初即避开低档同质化竞争，瞄准高端特种纤维，定位功能性、环保型新型纤维纯纺及混纺特种纱线。2016年引进东华大学俞建勇院士建立全市首个棉纺织领域院士工作站；先后获国家高新技术企业、绿色制造创新型企业、专精特新中小企业等资质；2023年获评德州市绿色工厂；2025年入选山东省轻工纺织行业数字"三品"示范企业，并成为高新技术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差别化、功能性新型纤维纱线专业制造商，主营以棉花、Modal、Tencel（天丝）、天竹、汉麻、牛奶纤维、抗菌纤维、海藻纤维等新型纤维为原料的高品质纯棉及混纺特种纱，纱支范围20S—60S，产品广泛应用于服装、家纺领域。"仁杰"牌赛络紧密纺针织用纱多次获行业"用户信得过产品"称号。</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新型纤维纱线为核心，覆盖纯棉高支纱与Modal/Tencel/天竹/汉麻/抗菌/海藻等功能性混纺特种纱。收入构成以纱线销售为主，内销与出口（东南亚等）结合；具体分产品收入因非上市未公开。公开报道曾披露年产值达4.2亿元（2018年口径，非审计）。</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主要产品为丽彩系列、纯棉高支等高品质纯棉纱线及混纺特种纱，包括抗菌、抑菌、功能性纱线（曾向安踏集团独家供应功能性纱线，年供货100吨）。产品以"仁杰"品牌对外销售，应用于服装、家纺。</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包括安踏集团等运动服饰龙头及服装、家纺企业，并销往国内各地及东南亚。与安踏签订独家供货协议（功能性纱线年供100吨，吨净利较普通纱高约1万元）体现大客户绑定能力。客户集中度因非上市未公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上游为棉花及Modal、Tencel等新型纤维原料，依托夏津"中国纺织名城"棉纺产业基础采购，原料供应稳定。</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150亩，员工900人（参保580人），拥有低扭矩纺纱生产规模14万锭（设计规模15万纱锭），国内外先进设备700台（套），年产各类新型纤维纱线16000余吨。具备高新技术企业、绿色工厂、省级企业技术中心等资质与52项专利。</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销售以直销（大客户绑定）与经销结合，依托夏津纱线区域品牌（价值约46亿元）与产业集群协同拓展市场，并出口东南亚。</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非上市单体财务未公开；公开报道曾披露年产值4.2亿元、年产纱线1.56万—1.6万吨（2018年口径，非审计）。公司在夏津新型纺织集群中属龙头骨干，具体市场占有率缺第三方测算。</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jc w:val="left"/>
      </w:pPr>
      <w:r>
        <w:rPr>
          <w:rFonts w:ascii="仿宋_GB2312" w:hAnsi="仿宋_GB2312" w:eastAsia="仿宋_GB2312"/>
          <w:b w:val="0"/>
          <w:color w:val="000000"/>
          <w:sz w:val="28"/>
        </w:rPr>
        <w:t>（山东仁和纺织科技有限公司为非上市民营企业，单体财务数据未公开披露。以下作定性说明，不编造具体财务报表数字；年产值、产能等经营数据来自公开报道并已标注，非审计数。）</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公司未公开披露近三年审计报告或财务报表。公开报道曾披露年产值约4.2亿元、年产纱线约1.6万吨（2018年口径，非审计）。量化会计数据以企业自行披露为准。</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差别化、功能性特种纱较普通纱溢价显著（功能性纱线吨净利高约1万元），盈利质量优于传统棉纺；但受棉价与新型纤维原料价格影响。</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资产以纺纱设备（700台套）、厂房（150亩）及存货、应收款项为主，重资产特征明显。</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资产负债率及有息负债未公开。近期因多起融资租赁合同纠纷被列为被执行人（2026年），提示偿债与流动性压力，须重点关注。</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经营性现金流受原料采购与销售回款影响；融资租赁纠纷反映其资金周转与债务结构存在压力。</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与鸿泰鼎（上游纤维）、鑫瑞娜（下游家纺）相比，公司居中游纱线环节，规模与研发（52项专利、院士站）突出；财务透明度低且近期司法风险较高，合作前须重点尽调。</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公司为自然人控股的民营股份制企业，法定代表人蔡金南主导经营。设有省级院士工作站、企业技术中心等研发治理机制，治理较一般民企规范。</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法定代表人、总经理蔡金南兼任纺织技术中心主任，带领团队年研发新产品20余个、攻关30余项；员工于芸芸获"全国五一劳动奖章""德州大工匠"称号，技术与工匠人才储备较强。</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公司建立技术中心、科协等研发组织，并通过省级企业技术中心、院士工作站规范研发管理；生产执行棉纺行业质量与环保体系。近期融资租赁纠纷提示合同与资金内控存在短板。</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公开报道称员工900人（参保约580人），其中技术中心专职研发人员117名、"长江学者"1名；研发人员占比高，人才结构优于同行。</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120" w:after="120"/>
        <w:ind w:firstLine="420"/>
        <w:jc w:val="left"/>
      </w:pPr>
      <w:r>
        <w:rPr>
          <w:rFonts w:ascii="楷体_GB2312" w:hAnsi="楷体_GB2312" w:eastAsia="楷体_GB2312"/>
          <w:b w:val="0"/>
          <w:color w:val="000000"/>
          <w:sz w:val="32"/>
        </w:rPr>
        <w:t>（一）技术与研发壁垒</w:t>
      </w:r>
    </w:p>
    <w:p>
      <w:pPr>
        <w:spacing w:lineRule="exact" w:line="600" w:before="0" w:after="0"/>
        <w:ind w:firstLine="420"/>
        <w:jc w:val="both"/>
      </w:pPr>
      <w:r>
        <w:rPr>
          <w:rFonts w:ascii="仿宋_GB2312" w:hAnsi="仿宋_GB2312" w:eastAsia="仿宋_GB2312"/>
          <w:b w:val="0"/>
          <w:color w:val="000000"/>
          <w:sz w:val="32"/>
        </w:rPr>
        <w:t>拥有省级院士工作站、省级企业技术中心，累计专利52项，与东华大学、青岛大学合作，近三年成果转化40余项；参与"微纳米纤维跨尺度镶嵌纺"项目达国际领先水平。</w:t>
      </w:r>
    </w:p>
    <w:p>
      <w:pPr>
        <w:spacing w:lineRule="exact" w:line="600" w:before="120" w:after="120"/>
        <w:ind w:firstLine="420"/>
        <w:jc w:val="left"/>
      </w:pPr>
      <w:r>
        <w:rPr>
          <w:rFonts w:ascii="楷体_GB2312" w:hAnsi="楷体_GB2312" w:eastAsia="楷体_GB2312"/>
          <w:b w:val="0"/>
          <w:color w:val="000000"/>
          <w:sz w:val="32"/>
        </w:rPr>
        <w:t>（二）数字化与绿色制造</w:t>
      </w:r>
    </w:p>
    <w:p>
      <w:pPr>
        <w:spacing w:lineRule="exact" w:line="600" w:before="0" w:after="0"/>
        <w:ind w:firstLine="420"/>
        <w:jc w:val="both"/>
      </w:pPr>
      <w:r>
        <w:rPr>
          <w:rFonts w:ascii="仿宋_GB2312" w:hAnsi="仿宋_GB2312" w:eastAsia="仿宋_GB2312"/>
          <w:b w:val="0"/>
          <w:color w:val="000000"/>
          <w:sz w:val="32"/>
        </w:rPr>
        <w:t>入选山东省首批数字经济"晨星工厂"，应用MES系统与智能纺纱在线监测，数字化改造使成本降12%、人工降10%、产能提30%以上；获评绿色工厂，绿色制造能力突出。</w:t>
      </w:r>
    </w:p>
    <w:p>
      <w:pPr>
        <w:spacing w:lineRule="exact" w:line="600" w:before="120" w:after="120"/>
        <w:ind w:firstLine="420"/>
        <w:jc w:val="left"/>
      </w:pPr>
      <w:r>
        <w:rPr>
          <w:rFonts w:ascii="楷体_GB2312" w:hAnsi="楷体_GB2312" w:eastAsia="楷体_GB2312"/>
          <w:b w:val="0"/>
          <w:color w:val="000000"/>
          <w:sz w:val="32"/>
        </w:rPr>
        <w:t>（三）差别化产品与客户</w:t>
      </w:r>
    </w:p>
    <w:p>
      <w:pPr>
        <w:spacing w:lineRule="exact" w:line="600" w:before="0" w:after="0"/>
        <w:ind w:firstLine="420"/>
        <w:jc w:val="both"/>
      </w:pPr>
      <w:r>
        <w:rPr>
          <w:rFonts w:ascii="仿宋_GB2312" w:hAnsi="仿宋_GB2312" w:eastAsia="仿宋_GB2312"/>
          <w:b w:val="0"/>
          <w:color w:val="000000"/>
          <w:sz w:val="32"/>
        </w:rPr>
        <w:t>功能性特种纱溢价高、客户粘性强（安踏独家供货）；"仁杰"品牌行业认可度高。</w:t>
      </w:r>
    </w:p>
    <w:p>
      <w:pPr>
        <w:spacing w:lineRule="exact" w:line="600" w:before="120" w:after="120"/>
        <w:ind w:firstLine="420"/>
        <w:jc w:val="left"/>
      </w:pPr>
      <w:r>
        <w:rPr>
          <w:rFonts w:ascii="楷体_GB2312" w:hAnsi="楷体_GB2312" w:eastAsia="楷体_GB2312"/>
          <w:b w:val="0"/>
          <w:color w:val="000000"/>
          <w:sz w:val="32"/>
        </w:rPr>
        <w:t>（四）集群与规模</w:t>
      </w:r>
    </w:p>
    <w:p>
      <w:pPr>
        <w:spacing w:lineRule="exact" w:line="600" w:before="0" w:after="0"/>
        <w:ind w:firstLine="420"/>
        <w:jc w:val="both"/>
      </w:pPr>
      <w:r>
        <w:rPr>
          <w:rFonts w:ascii="仿宋_GB2312" w:hAnsi="仿宋_GB2312" w:eastAsia="仿宋_GB2312"/>
          <w:b w:val="0"/>
          <w:color w:val="000000"/>
          <w:sz w:val="32"/>
        </w:rPr>
        <w:t>14万锭规模、700台设备、16000余吨产能，在夏津新型纺织集群居龙头地位，规模与交付能力突出。</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棉纺行业竞争激烈、同质化严重，棉价周期波动与需求波动为行业共性风险。</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近期因多起融资租赁合同纠纷被列为被执行人并收到限制消费令（2026年），涉及司法案件26条、涉案总金额约3713万元（截至2025年），提示经营与债务风险。</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财务未公开、透明度低；融资租赁纠纷反映债务结构与流动性承压，融资时需重点评估偿债能力。</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纺织生产涉及安全生产与环保监管；司法纠纷亦带来信用合规风险，须关注。</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实际控制人集权，扩张期若战略与资金错配易引发债务风险（已有纠纷印证）。</w:t>
      </w:r>
    </w:p>
    <w:p>
      <w:pPr>
        <w:spacing w:lineRule="exact" w:line="600" w:before="120" w:after="120"/>
        <w:ind w:firstLine="420"/>
        <w:jc w:val="left"/>
      </w:pPr>
      <w:r>
        <w:rPr>
          <w:rFonts w:ascii="楷体_GB2312" w:hAnsi="楷体_GB2312" w:eastAsia="楷体_GB2312"/>
          <w:b w:val="0"/>
          <w:color w:val="000000"/>
          <w:sz w:val="32"/>
        </w:rPr>
        <w:t>（六）应对措施</w:t>
      </w:r>
    </w:p>
    <w:p>
      <w:pPr>
        <w:spacing w:lineRule="exact" w:line="600" w:before="0" w:after="0"/>
        <w:ind w:firstLine="420"/>
        <w:jc w:val="both"/>
      </w:pPr>
      <w:r>
        <w:rPr>
          <w:rFonts w:ascii="仿宋_GB2312" w:hAnsi="仿宋_GB2312" w:eastAsia="仿宋_GB2312"/>
          <w:b w:val="0"/>
          <w:color w:val="000000"/>
          <w:sz w:val="32"/>
        </w:rPr>
        <w:t>公司通过差异化产品、数字化降本、大客户绑定分散风险；建议压降杠杆、规范融资合同管理，山东投资合作前须完成司法与资信尽调。</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对安踏等大客户的应收账款可开展保理，盘活资金、降低回款风险。</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围绕棉纺产业链上下游开展存货质押、订单融资，服务集群小微。</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设备升级可继续以融资租赁方式，但须审慎评估其现有融资租赁纠纷与偿债能力。</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短期周转可由小贷补充，须在确认债务风险可控前提下、以抵质押控制风险。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山东仁和纺织科技有限公司是夏津新型纺织集群中研发与数字化能力突出的纱线龙头，技术与产品优势明显，但近期融资租赁纠纷与司法风险需高度关注。</w:t>
      </w:r>
    </w:p>
    <w:p>
      <w:pPr>
        <w:spacing w:lineRule="exact" w:line="600" w:before="120" w:after="120"/>
        <w:ind w:firstLine="420"/>
        <w:jc w:val="left"/>
      </w:pPr>
      <w:r>
        <w:rPr>
          <w:rFonts w:ascii="楷体_GB2312" w:hAnsi="楷体_GB2312" w:eastAsia="楷体_GB2312"/>
          <w:b w:val="0"/>
          <w:color w:val="000000"/>
          <w:sz w:val="32"/>
        </w:rPr>
        <w:t>（二）未来发展</w:t>
      </w:r>
    </w:p>
    <w:p>
      <w:pPr>
        <w:spacing w:lineRule="exact" w:line="600" w:before="0" w:after="0"/>
        <w:ind w:firstLine="420"/>
        <w:jc w:val="both"/>
      </w:pPr>
      <w:r>
        <w:rPr>
          <w:rFonts w:ascii="仿宋_GB2312" w:hAnsi="仿宋_GB2312" w:eastAsia="仿宋_GB2312"/>
          <w:b w:val="0"/>
          <w:color w:val="000000"/>
          <w:sz w:val="32"/>
        </w:rPr>
        <w:t>功能性、绿色差别化纱线需求增长与数字化降本构成增长动力；大客户绑定与成果转化支撑盈利。</w:t>
      </w:r>
    </w:p>
    <w:p>
      <w:pPr>
        <w:spacing w:lineRule="exact" w:line="600" w:before="120" w:after="120"/>
        <w:ind w:firstLine="420"/>
        <w:jc w:val="left"/>
      </w:pPr>
      <w:r>
        <w:rPr>
          <w:rFonts w:ascii="楷体_GB2312" w:hAnsi="楷体_GB2312" w:eastAsia="楷体_GB2312"/>
          <w:b w:val="0"/>
          <w:color w:val="000000"/>
          <w:sz w:val="32"/>
        </w:rPr>
        <w:t>（三）面临挑战</w:t>
      </w:r>
    </w:p>
    <w:p>
      <w:pPr>
        <w:spacing w:lineRule="exact" w:line="600" w:before="0" w:after="0"/>
        <w:ind w:firstLine="420"/>
        <w:jc w:val="both"/>
      </w:pPr>
      <w:r>
        <w:rPr>
          <w:rFonts w:ascii="仿宋_GB2312" w:hAnsi="仿宋_GB2312" w:eastAsia="仿宋_GB2312"/>
          <w:b w:val="0"/>
          <w:color w:val="000000"/>
          <w:sz w:val="32"/>
        </w:rPr>
        <w:t>挑战在债务风险化解、财务透明化与行业周期波动，须先去杠杆、强内控。</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建议山东投资在确认司法风险化解、完成资信尽调后审慎介入，以保理与供应链金融为主；企业端应压降杠杆、规范合同与资金管理。</w:t>
      </w:r>
    </w:p>
    <w:p>
      <w:pPr>
        <w:spacing w:lineRule="exact" w:line="600" w:before="0" w:after="0"/>
        <w:jc w:val="left"/>
      </w:pPr>
      <w:r>
        <w:rPr>
          <w:rFonts w:ascii="仿宋_GB2312" w:hAnsi="仿宋_GB2312" w:eastAsia="仿宋_GB2312"/>
          <w:b w:val="0"/>
          <w:color w:val="000000"/>
          <w:sz w:val="28"/>
        </w:rPr>
        <w:t>数据来源说明：天眼查/爱企查工商信息，中国棉纺织行业协会官网（绿色制造创新型企业-夏津仁和），德州日报/今日头条（年产值4.2亿元等报道），国家企业信用信息公示系统。财务数据因非上市未公开，已如实标注；司法风险信息来自公开工商与爱企查记录。</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