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夏津县新型纺织特色产业集群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山东鸿泰鼎纺织科技有限公司企业分析报告</w:t>
      </w:r>
    </w:p>
    <w:p>
      <w:pPr>
        <w:spacing w:lineRule="exact" w:line="600" w:before="0" w:after="0"/>
        <w:jc w:val="left"/>
      </w:pPr>
      <w:r>
        <w:rPr>
          <w:rFonts w:ascii="仿宋_GB2312" w:hAnsi="仿宋_GB2312" w:eastAsia="仿宋_GB2312"/>
          <w:b w:val="0"/>
          <w:color w:val="000000"/>
          <w:sz w:val="28"/>
        </w:rPr>
        <w:t>（本报告数据来源于人民网、中国新闻网、山东商报/速豹新闻网、山东省税务局官网等公开报道，以及国家企业信用信息公示系统/天眼查公开信息，统计时点截至最新披露信息。该公司为非上市新材料企业，单体财务数据未公开披露，已如实标注；公开报道中的产能、专利、出口等数据均已标注来源。）</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鸿泰鼎纺织科技有限公司（公开报道中亦以"山东鸿泰鼎科技有限公司""夏津鸿泰鼎新材料科技有限公司"出现）位于山东省德州市夏津县，是专业从事莱赛尔（Lyocell）纤维研发、生产与销售的新材料企业。公司法定代表人为王培荣，董事长亦由王培荣担任。</w:t>
      </w:r>
    </w:p>
    <w:p>
      <w:pPr>
        <w:spacing w:lineRule="exact" w:line="600" w:before="0" w:after="0"/>
        <w:ind w:firstLine="420"/>
        <w:jc w:val="both"/>
      </w:pPr>
      <w:r>
        <w:rPr>
          <w:rFonts w:ascii="仿宋_GB2312" w:hAnsi="仿宋_GB2312" w:eastAsia="仿宋_GB2312"/>
          <w:b w:val="0"/>
          <w:color w:val="000000"/>
          <w:sz w:val="32"/>
        </w:rPr>
        <w:t>公司注册资本、实缴资本及具体股权结构等工商登记细节以国家企业信用信息公示系统为准（公开报道侧重其莱赛尔纤维项目的工艺、产能与专利布局）。其为国家级高新技术企业，是夏津县新型纺织产业集群中以"绿色新材料"为方向的代表性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公司围绕莱赛尔纤维主业设立研发、生产、销售体系，董事长王培荣主导战略与技术方向。作为新材料项目型企业，组织以单基地产线运营为主，未公开控股或重要参股子公司。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发展历程关键节点：落户夏津县并建设莱赛尔纤维新材料项目，第一条生产线建成投产，单线产能达6万吨、居全国第一；2024年8月第二条生产线（报道预计5万吨级）投产，总产能提升至约12万吨、约占全国四分之一；技术团队掌握核心专利，授权专利累计33项（其中发明专利6项、实用新型27项）；2025年开发的薄荷、艾草、石墨烯等6大系列功能性莱赛尔纤维打入韩国ZAIN株式会社、日本优衣库等国际供应链，首批海外订单交付并获70万元出口退税款。</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绿色再生纤维素纤维（莱赛尔）专业制造商，主营莱赛尔纤维研发生产，产品应用于服饰、家纺、面膜纸等领域。莱赛尔纤维被称为"21世纪最完美的纤维"，具备合成纤维强韧性与棉花舒适性、丝绸光滑性，且原料可再生、过程接近零排放、产品可降解，契合国家"双碳"战略。</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业务聚焦莱赛尔纤维单一主业，以原白色基础纤维为主，并拓展薄荷、艾草、石墨烯等功能性差异化纤维系列。收入构成以纤维销售为主，内销与出口（经海外供应链）结合；具体分产品收入因非上市未公开。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莱赛尔纤维，按用途分为服饰用、家纺用、产业用（如面膜纸基材）等；差异化系列包括薄荷纤维（凉感）、艾草纤维（抗菌）、石墨烯纤维（导热/抗菌）等6大系列功能性产品，满足高端客户定制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客户涵盖纺织服装、家纺及无纺（面膜）产业链企业。2025年成功进入韩国ZAIN株式会社、日本优衣库等国际供应链体系，标志其产品达到国际采购标准，客户层级显著提升。客户集中度因非上市未公开。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上游为木片/木浆粕等可再生原料，经粉碎浆、溶剂、浆粥、胶液、丝束等工序制成纤维。原料来源以进口木浆粕为主，供应受国际浆价与贸易影响。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第一条线单线产能6万吨（全国第一），第二条线2024年8月投产后总产能约12万吨。采用干法粉碎—直接溶解—干喷湿纺先进工艺，溶剂回收率达99.7%，能耗降低20%—30%。具备高新技术企业资质及33项专利护城河。</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销售以直销给纺织下游客户为主，并借助海外订单（韩国、日本）拓展国际市场；依托夏津"中国纺织名城"区域品牌与集群协同获取订单。</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非上市单体财务未公开；公开报道披露产能约12万吨、第二条线投产后占全国约四分之一。莱赛尔纤维国内处于产能扩张期，公司在单线规模与工艺上具先发优势，具体市场占有率缺第三方权威测算。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jc w:val="left"/>
      </w:pPr>
      <w:r>
        <w:rPr>
          <w:rFonts w:ascii="仿宋_GB2312" w:hAnsi="仿宋_GB2312" w:eastAsia="仿宋_GB2312"/>
          <w:b w:val="0"/>
          <w:color w:val="000000"/>
          <w:sz w:val="28"/>
        </w:rPr>
        <w:t>（山东鸿泰鼎纺织科技有限公司为非上市企业，单体财务数据未公开披露。以下作定性说明，不编造具体财务报表数字；产能、专利、出口等运营数据见前文并标注来源。）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公司未公开披露近三年审计报告或财务报表。作为重资产新材料项目，资产以生产线设备、厂房为主，营收随产能爬坡增长；量化会计数据以企业自行披露为准。</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莱赛尔纤维属高附加值再生纤维素纤维，毛利率高于传统粘胶；但产线投资大、折旧高，盈利取决于产能利用率与原料（木浆粕）价格。第二条线达产后规模效应有望显现。</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资产以专用生产设备、厂房为主，重资产特征明显，资产专用性较高、变现弹性有限。</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资产负债率及有息负债未公开。重资产扩张期通常依赖项目贷款与股东投入，偿债指标以尽调为准。</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经营性现金流受产能爬坡与原料采购周期影响；出口业务带来外汇回款（曾获70万元出口退税）。</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与同集群仁和纺织、鑫瑞娜家纺相比，公司属上游纤维新材料环节，技术壁垒与绿色属性突出，但财务透明度低、重资产风险高；财务可比性因均未上市受限。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公司为民营控股的新材料企业，董事长王培荣主导战略与技术决策，治理为实际控制人/核心团队主导模式，未公开设独立董事或外部治理机制。</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董事长王培荣为技术与战略核心，主导莱赛尔工艺研发与产能布局，具备新材料产业长期经验。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作为化工纤维生产企业，需执行安全生产、环保（溶剂回收）等合规体系；内控以满足安全生产与环保监管为底线。</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公司技术团队掌握核心专利（累计授权33项），研发与工程人才为关键资源；具体人员规模以工商公示为准。</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（一）工艺与技术壁垒</w:t>
      </w:r>
    </w:p>
    <w:p>
      <w:pPr>
        <w:spacing w:lineRule="exact" w:line="600" w:before="0" w:after="0"/>
        <w:ind w:firstLine="420"/>
        <w:jc w:val="both"/>
      </w:pPr>
      <w:r>
        <w:rPr>
          <w:rFonts w:ascii="仿宋_GB2312" w:hAnsi="仿宋_GB2312" w:eastAsia="仿宋_GB2312"/>
          <w:b w:val="0"/>
          <w:color w:val="000000"/>
          <w:sz w:val="32"/>
        </w:rPr>
        <w:t>干法粉碎—直接溶解—干喷湿纺工艺使溶剂回收率达99.7%、能耗降20%—30%，技术团队掌握核心专利33项（发明6项），构成显著技术壁垒。</w:t>
      </w:r>
    </w:p>
    <w:p>
      <w:pPr>
        <w:spacing w:lineRule="exact" w:line="600" w:before="120" w:after="120"/>
        <w:ind w:firstLine="420"/>
        <w:jc w:val="left"/>
      </w:pPr>
      <w:r>
        <w:rPr>
          <w:rFonts w:ascii="楷体_GB2312" w:hAnsi="楷体_GB2312" w:eastAsia="楷体_GB2312"/>
          <w:b w:val="0"/>
          <w:color w:val="000000"/>
          <w:sz w:val="32"/>
        </w:rPr>
        <w:t>（二）规模与先发优势</w:t>
      </w:r>
    </w:p>
    <w:p>
      <w:pPr>
        <w:spacing w:lineRule="exact" w:line="600" w:before="0" w:after="0"/>
        <w:ind w:firstLine="420"/>
        <w:jc w:val="both"/>
      </w:pPr>
      <w:r>
        <w:rPr>
          <w:rFonts w:ascii="仿宋_GB2312" w:hAnsi="仿宋_GB2312" w:eastAsia="仿宋_GB2312"/>
          <w:b w:val="0"/>
          <w:color w:val="000000"/>
          <w:sz w:val="32"/>
        </w:rPr>
        <w:t>第一条线单线产能6万吨居全国第一，总产能约12万吨约占全国四分之一，规模与先发优势明显。</w:t>
      </w:r>
    </w:p>
    <w:p>
      <w:pPr>
        <w:spacing w:lineRule="exact" w:line="600" w:before="120" w:after="120"/>
        <w:ind w:firstLine="420"/>
        <w:jc w:val="left"/>
      </w:pPr>
      <w:r>
        <w:rPr>
          <w:rFonts w:ascii="楷体_GB2312" w:hAnsi="楷体_GB2312" w:eastAsia="楷体_GB2312"/>
          <w:b w:val="0"/>
          <w:color w:val="000000"/>
          <w:sz w:val="32"/>
        </w:rPr>
        <w:t>（三）绿色与政策属性</w:t>
      </w:r>
    </w:p>
    <w:p>
      <w:pPr>
        <w:spacing w:lineRule="exact" w:line="600" w:before="0" w:after="0"/>
        <w:ind w:firstLine="420"/>
        <w:jc w:val="both"/>
      </w:pPr>
      <w:r>
        <w:rPr>
          <w:rFonts w:ascii="仿宋_GB2312" w:hAnsi="仿宋_GB2312" w:eastAsia="仿宋_GB2312"/>
          <w:b w:val="0"/>
          <w:color w:val="000000"/>
          <w:sz w:val="32"/>
        </w:rPr>
        <w:t>莱赛尔纤维可再生、可降解、近零排放，高度契合"双碳"战略与绿色制造导向，政策与下游偏好双重利好。</w:t>
      </w:r>
    </w:p>
    <w:p>
      <w:pPr>
        <w:spacing w:lineRule="exact" w:line="600" w:before="120" w:after="120"/>
        <w:ind w:firstLine="420"/>
        <w:jc w:val="left"/>
      </w:pPr>
      <w:r>
        <w:rPr>
          <w:rFonts w:ascii="楷体_GB2312" w:hAnsi="楷体_GB2312" w:eastAsia="楷体_GB2312"/>
          <w:b w:val="0"/>
          <w:color w:val="000000"/>
          <w:sz w:val="32"/>
        </w:rPr>
        <w:t>（四）国际客户突破</w:t>
      </w:r>
    </w:p>
    <w:p>
      <w:pPr>
        <w:spacing w:lineRule="exact" w:line="600" w:before="0" w:after="0"/>
        <w:ind w:firstLine="420"/>
        <w:jc w:val="both"/>
      </w:pPr>
      <w:r>
        <w:rPr>
          <w:rFonts w:ascii="仿宋_GB2312" w:hAnsi="仿宋_GB2312" w:eastAsia="仿宋_GB2312"/>
          <w:b w:val="0"/>
          <w:color w:val="000000"/>
          <w:sz w:val="32"/>
        </w:rPr>
        <w:t>进入韩国ZAIN、日本优衣库供应链，验证产品国际竞争力，为高端差异化与出口拓展打开空间。</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莱赛尔纤维国内产能快速扩张，存产能过剩与价格下行风险；下游纺织服装需求波动传导至纤维环节。</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原料（木浆粕）进口依赖、价格波动影响成本；第二条线产能爬坡与良率需验证；重资产下固定成本摊薄依赖利用率。</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财务未公开、透明度低；重资产扩张期资金占用大，若融资节奏不当存在流动性压力。</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化工纤维生产涉及安全与环保（溶剂回收）监管，若发生安全环保事故将严重冲击生产。</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技术/战略依赖核心人物，治理集中，扩张期决策失误风险需关注。</w:t>
      </w:r>
    </w:p>
    <w:p>
      <w:pPr>
        <w:spacing w:lineRule="exact" w:line="600" w:before="120" w:after="120"/>
        <w:ind w:firstLine="420"/>
        <w:jc w:val="left"/>
      </w:pPr>
      <w:r>
        <w:rPr>
          <w:rFonts w:ascii="楷体_GB2312" w:hAnsi="楷体_GB2312" w:eastAsia="楷体_GB2312"/>
          <w:b w:val="0"/>
          <w:color w:val="000000"/>
          <w:sz w:val="32"/>
        </w:rPr>
        <w:t>（六）应对措施</w:t>
      </w:r>
    </w:p>
    <w:p>
      <w:pPr>
        <w:spacing w:lineRule="exact" w:line="600" w:before="0" w:after="0"/>
        <w:ind w:firstLine="420"/>
        <w:jc w:val="both"/>
      </w:pPr>
      <w:r>
        <w:rPr>
          <w:rFonts w:ascii="仿宋_GB2312" w:hAnsi="仿宋_GB2312" w:eastAsia="仿宋_GB2312"/>
          <w:b w:val="0"/>
          <w:color w:val="000000"/>
          <w:sz w:val="32"/>
        </w:rPr>
        <w:t>公司通过差异化功能纤维（薄荷/艾草/石墨烯）、国际客户拓展、溶剂回收降本分散风险；建议推进财务透明化以拓宽融资。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对下游纺织及海外客户的应收账款可开展保理，盘活营运资金。</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围绕莱赛尔纤维上下游（木浆粕采购、下游织造）开展存货质押、订单融资，服务产业链。</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产线设备投资大，可通过融资租赁以轻资产扩张、匹配第二条线产能释放节奏。</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季节性原料采购资金缺口可由小贷补充，建议以设备/存货抵质押控制风险。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山东鸿泰鼎纺织科技有限公司是夏津新型纺织集群中技术属性突出的绿色纤维新材料企业，工艺与规模国内领先、国际客户突破，但重资产与财务透明度是关注点。</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莱赛尔纤维在绿色消费与可降解趋势下需求向好，功能性差异化纤维与出口拓展构成增长双引擎。</w:t>
      </w:r>
    </w:p>
    <w:p>
      <w:pPr>
        <w:spacing w:lineRule="exact" w:line="600" w:before="120" w:after="120"/>
        <w:ind w:firstLine="420"/>
        <w:jc w:val="left"/>
      </w:pPr>
      <w:r>
        <w:rPr>
          <w:rFonts w:ascii="楷体_GB2312" w:hAnsi="楷体_GB2312" w:eastAsia="楷体_GB2312"/>
          <w:b w:val="0"/>
          <w:color w:val="000000"/>
          <w:sz w:val="32"/>
        </w:rPr>
        <w:t>（三）面临挑战</w:t>
      </w:r>
    </w:p>
    <w:p>
      <w:pPr>
        <w:spacing w:lineRule="exact" w:line="600" w:before="0" w:after="0"/>
        <w:ind w:firstLine="420"/>
        <w:jc w:val="both"/>
      </w:pPr>
      <w:r>
        <w:rPr>
          <w:rFonts w:ascii="仿宋_GB2312" w:hAnsi="仿宋_GB2312" w:eastAsia="仿宋_GB2312"/>
          <w:b w:val="0"/>
          <w:color w:val="000000"/>
          <w:sz w:val="32"/>
        </w:rPr>
        <w:t>挑战在产能扩张期的资金平衡、原料波动与行业产能过剩隐忧，需以差异化与降本应对。</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建议山东投资以融资租赁与供应链金融为切入点，配套财务规范辅导；企业端应加快财务披露、强化安全环保内控，巩固技术与规模优势。</w:t>
      </w:r>
    </w:p>
    <w:p>
      <w:pPr>
        <w:spacing w:lineRule="exact" w:line="600" w:before="0" w:after="0"/>
        <w:jc w:val="left"/>
      </w:pPr>
      <w:r>
        <w:rPr>
          <w:rFonts w:ascii="仿宋_GB2312" w:hAnsi="仿宋_GB2312" w:eastAsia="仿宋_GB2312"/>
          <w:b w:val="0"/>
          <w:color w:val="000000"/>
          <w:sz w:val="28"/>
        </w:rPr>
        <w:t>数据来源说明：人民网（山东德州逐"绿"前行报道）、中国新闻网（德州企业绿色低碳高质量发展报道）、山东商报/速豹新闻网（德州打造低碳发展新高地）、山东省税务局官网（夏津鸿泰鼎出口退税额报道）及国家企业信用信息公示系统/天眼查公开信息。财务数据因非上市未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