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威海市文登区新能源电池功能材料特色产业集群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山东亘元新材料股份有限公司企业分析报告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新三板公告、交易所及巨潮披露、东方财富、同花顺、天眼查/企查查、公司官网及权威媒体等公开渠道，统计时点截至最新披露信息；非上市企业未公开披露之财务数据已如实标注，未作任何虚构。）</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亘元新材料股份有限公司成立于2019年5月23日，法定代表人为孙同乐，注册资本42,422.07万元，注册地址位于山东省威海市文登区九龙路1-1号。公司为非上市股份有限公司，股权结构以自然人控股为主，系文登区新能源电池功能材料特色产业集群的龙头企业。公司曾入选国家级制造业单项冠军企业，并进入省级独角兽企业行列，是电解液添加剂领域的重要参与者。</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股权相对集中，主要股东包括：谭业军持股约42.16%，为第一大股东及实际控制人；宁德时代新能源科技股份有限公司于2021年通过战略投资入股，直接持股约13.45%（含关联方合计持股超23%），为重要产业投资人；山东青木投资持股约8.72%，山东省财金投资集团持股约8.02%。公司下设生产、研发、采购、销售及财务等职能中心，在文登基地布局多个生产车间及研发平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2019年设立于威海文登，早期聚焦碳酸亚乙烯酯（VC）等锂电池电解液添加剂研发与产业化；2021年引入宁德时代战略投资，深度绑定下游头部电池客户；此后产能持续扩张，由初期约2万吨VC产能，于2026年4月新增3万吨产能，并规划至2026年底总产能达到约12万吨，届时有望占据行业约40%份额。2026年，创业板上市公司日科化学（300214）公告拟以发行股份及支付现金方式收购其70.75%股权，交易完成后将纳入上市公司体系。</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新能源电池功能材料核心供应商，主营锂电池电解液添加剂及关键中间体，主要产品包括碳酸亚乙烯酯（VC）、氟代碳酸乙烯酯（FEC）、1,3-环己二酮等。产品广泛应用于动力电池、储能电池及消费电子电池电解液体系，是提升电池循环寿命与高低温性能的关键功能材料。</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公司业务高度聚焦于电解液添加剂，以VC为主力产品，辅以FEC及1,3-环己二酮等中间体。随着产能释放，VC类产品贡献主要收入，下游需求来自动力电池与储能行业高增长拉动。</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碳酸亚乙烯酯（VC）是公司核心产品，用作电解液成膜添加剂；氟代碳酸乙烯酯（FEC）主要用于硅基负极体系；1,3-环己二酮为重要有机中间体。公司产品纯度与一致性达到主流电池客户认证标准。</w:t>
      </w:r>
    </w:p>
    <w:p>
      <w:pPr>
        <w:spacing w:lineRule="exact" w:line="600" w:before="120" w:after="120"/>
        <w:ind w:firstLine="420"/>
        <w:jc w:val="left"/>
      </w:pPr>
      <w:r>
        <w:rPr>
          <w:rFonts w:ascii="楷体_GB2312" w:hAnsi="楷体_GB2312" w:eastAsia="楷体_GB2312"/>
          <w:b w:val="0"/>
          <w:color w:val="000000"/>
          <w:sz w:val="32"/>
        </w:rPr>
        <w:t>（三）客户</w:t>
      </w:r>
    </w:p>
    <w:p>
      <w:pPr>
        <w:spacing w:lineRule="exact" w:line="600" w:before="0" w:after="0"/>
        <w:ind w:firstLine="420"/>
        <w:jc w:val="both"/>
      </w:pPr>
      <w:r>
        <w:rPr>
          <w:rFonts w:ascii="仿宋_GB2312" w:hAnsi="仿宋_GB2312" w:eastAsia="仿宋_GB2312"/>
          <w:b w:val="0"/>
          <w:color w:val="000000"/>
          <w:sz w:val="32"/>
        </w:rPr>
        <w:t>公司客户覆盖国内主流动力电池及电解液厂商，主要包括宁德时代、比亚迪、广州天赐材料、国轩高科、中创新航等，客户结构优质且与头部企业深度绑定，订单稳定性较强。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公司原材料以化工基础原料及中间体为主，采购环节注重与上游稳定供应渠道合作，具体供应商明细未公开披露。公司依托文登化工园区配套，在能源、物流及环保处理方面具备一定协同优势。</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截至2026年，公司VC产能由约2万吨扩至含新增3万吨产线，规划年底总产能约12万吨；公司持有相关安全生产、环保及危化品经营资质，符合化工新材料行业监管要求。</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公司采用大客户直供为主、技术协同开发为辅的销售模式，与头部电池及电解液企业建立长期供货与联合开发机制，销售渠道集中且粘性高。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未审财务数据，公司2024年营业收入约15.11亿元、净亏损约2.16亿元；2025年营业收入约17.11亿元、净亏损约2.43亿元；2026年一季度营业收入约9.65亿元、净利润约1.34亿元，呈现扭亏拐点迹象。按规划产能测算，2026年底VC产能约12万吨，约占行业40%，居全球前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以下为公开渠道披露的未审主要会计数据（单位：亿元）：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会计期间</w:t>
            </w:r>
          </w:p>
        </w:tc>
        <w:tc>
          <w:tcPr>
            <w:tcW w:type="dxa" w:w="1984"/>
          </w:tcPr>
          <w:p>
            <w:pPr>
              <w:spacing w:lineRule="exact" w:line="600"/>
              <w:jc w:val="center"/>
            </w:pPr>
            <w:r/>
            <w:r>
              <w:rPr>
                <w:rFonts w:ascii="黑体" w:hAnsi="黑体" w:eastAsia="黑体"/>
                <w:b/>
                <w:color w:val="000000"/>
                <w:sz w:val="32"/>
              </w:rPr>
              <w:t>营业收入</w:t>
            </w:r>
          </w:p>
        </w:tc>
        <w:tc>
          <w:tcPr>
            <w:tcW w:type="dxa" w:w="1984"/>
          </w:tcPr>
          <w:p>
            <w:pPr>
              <w:spacing w:lineRule="exact" w:line="600"/>
              <w:jc w:val="center"/>
            </w:pPr>
            <w:r/>
            <w:r>
              <w:rPr>
                <w:rFonts w:ascii="黑体" w:hAnsi="黑体" w:eastAsia="黑体"/>
                <w:b/>
                <w:color w:val="000000"/>
                <w:sz w:val="32"/>
              </w:rPr>
              <w:t>净利润</w:t>
            </w:r>
          </w:p>
        </w:tc>
        <w:tc>
          <w:tcPr>
            <w:tcW w:type="dxa" w:w="2551"/>
          </w:tcPr>
          <w:p>
            <w:pPr>
              <w:spacing w:lineRule="exact" w:line="600"/>
              <w:jc w:val="center"/>
            </w:pPr>
            <w:r/>
            <w:r>
              <w:rPr>
                <w:rFonts w:ascii="黑体" w:hAnsi="黑体" w:eastAsia="黑体"/>
                <w:b/>
                <w:color w:val="000000"/>
                <w:sz w:val="32"/>
              </w:rPr>
              <w:t>备注</w:t>
            </w:r>
          </w:p>
        </w:tc>
      </w:tr>
      <w:tr>
        <w:tc>
          <w:tcPr>
            <w:tcW w:type="dxa" w:w="2551"/>
          </w:tcPr>
          <w:p>
            <w:pPr>
              <w:spacing w:lineRule="exact" w:line="600"/>
              <w:jc w:val="center"/>
            </w:pPr>
            <w:r/>
            <w:r>
              <w:rPr>
                <w:rFonts w:ascii="仿宋_GB2312" w:hAnsi="仿宋_GB2312" w:eastAsia="仿宋_GB2312"/>
                <w:b w:val="0"/>
                <w:color w:val="000000"/>
                <w:sz w:val="32"/>
              </w:rPr>
              <w:t>2024年</w:t>
            </w:r>
          </w:p>
        </w:tc>
        <w:tc>
          <w:tcPr>
            <w:tcW w:type="dxa" w:w="1984"/>
          </w:tcPr>
          <w:p>
            <w:pPr>
              <w:spacing w:lineRule="exact" w:line="600"/>
              <w:jc w:val="center"/>
            </w:pPr>
            <w:r/>
            <w:r>
              <w:rPr>
                <w:rFonts w:ascii="仿宋_GB2312" w:hAnsi="仿宋_GB2312" w:eastAsia="仿宋_GB2312"/>
                <w:b w:val="0"/>
                <w:color w:val="000000"/>
                <w:sz w:val="32"/>
              </w:rPr>
              <w:t>15.11</w:t>
            </w:r>
          </w:p>
        </w:tc>
        <w:tc>
          <w:tcPr>
            <w:tcW w:type="dxa" w:w="1984"/>
          </w:tcPr>
          <w:p>
            <w:pPr>
              <w:spacing w:lineRule="exact" w:line="600"/>
              <w:jc w:val="center"/>
            </w:pPr>
            <w:r/>
            <w:r>
              <w:rPr>
                <w:rFonts w:ascii="仿宋_GB2312" w:hAnsi="仿宋_GB2312" w:eastAsia="仿宋_GB2312"/>
                <w:b w:val="0"/>
                <w:color w:val="000000"/>
                <w:sz w:val="32"/>
              </w:rPr>
              <w:t>-2.16</w:t>
            </w:r>
          </w:p>
        </w:tc>
        <w:tc>
          <w:tcPr>
            <w:tcW w:type="dxa" w:w="2551"/>
          </w:tcPr>
          <w:p>
            <w:pPr>
              <w:spacing w:lineRule="exact" w:line="600"/>
              <w:jc w:val="center"/>
            </w:pPr>
            <w:r/>
            <w:r>
              <w:rPr>
                <w:rFonts w:ascii="仿宋_GB2312" w:hAnsi="仿宋_GB2312" w:eastAsia="仿宋_GB2312"/>
                <w:b w:val="0"/>
                <w:color w:val="000000"/>
                <w:sz w:val="32"/>
              </w:rPr>
              <w:t>未审</w:t>
            </w:r>
          </w:p>
        </w:tc>
      </w:tr>
      <w:tr>
        <w:tc>
          <w:tcPr>
            <w:tcW w:type="dxa" w:w="2551"/>
          </w:tcPr>
          <w:p>
            <w:pPr>
              <w:spacing w:lineRule="exact" w:line="600"/>
              <w:jc w:val="center"/>
            </w:pPr>
            <w:r/>
            <w:r>
              <w:rPr>
                <w:rFonts w:ascii="仿宋_GB2312" w:hAnsi="仿宋_GB2312" w:eastAsia="仿宋_GB2312"/>
                <w:b w:val="0"/>
                <w:color w:val="000000"/>
                <w:sz w:val="32"/>
              </w:rPr>
              <w:t>2025年</w:t>
            </w:r>
          </w:p>
        </w:tc>
        <w:tc>
          <w:tcPr>
            <w:tcW w:type="dxa" w:w="1984"/>
          </w:tcPr>
          <w:p>
            <w:pPr>
              <w:spacing w:lineRule="exact" w:line="600"/>
              <w:jc w:val="center"/>
            </w:pPr>
            <w:r/>
            <w:r>
              <w:rPr>
                <w:rFonts w:ascii="仿宋_GB2312" w:hAnsi="仿宋_GB2312" w:eastAsia="仿宋_GB2312"/>
                <w:b w:val="0"/>
                <w:color w:val="000000"/>
                <w:sz w:val="32"/>
              </w:rPr>
              <w:t>17.11</w:t>
            </w:r>
          </w:p>
        </w:tc>
        <w:tc>
          <w:tcPr>
            <w:tcW w:type="dxa" w:w="1984"/>
          </w:tcPr>
          <w:p>
            <w:pPr>
              <w:spacing w:lineRule="exact" w:line="600"/>
              <w:jc w:val="center"/>
            </w:pPr>
            <w:r/>
            <w:r>
              <w:rPr>
                <w:rFonts w:ascii="仿宋_GB2312" w:hAnsi="仿宋_GB2312" w:eastAsia="仿宋_GB2312"/>
                <w:b w:val="0"/>
                <w:color w:val="000000"/>
                <w:sz w:val="32"/>
              </w:rPr>
              <w:t>-2.43</w:t>
            </w:r>
          </w:p>
        </w:tc>
        <w:tc>
          <w:tcPr>
            <w:tcW w:type="dxa" w:w="2551"/>
          </w:tcPr>
          <w:p>
            <w:pPr>
              <w:spacing w:lineRule="exact" w:line="600"/>
              <w:jc w:val="center"/>
            </w:pPr>
            <w:r/>
            <w:r>
              <w:rPr>
                <w:rFonts w:ascii="仿宋_GB2312" w:hAnsi="仿宋_GB2312" w:eastAsia="仿宋_GB2312"/>
                <w:b w:val="0"/>
                <w:color w:val="000000"/>
                <w:sz w:val="32"/>
              </w:rPr>
              <w:t>未审</w:t>
            </w:r>
          </w:p>
        </w:tc>
      </w:tr>
      <w:tr>
        <w:tc>
          <w:tcPr>
            <w:tcW w:type="dxa" w:w="2551"/>
          </w:tcPr>
          <w:p>
            <w:pPr>
              <w:spacing w:lineRule="exact" w:line="600"/>
              <w:jc w:val="center"/>
            </w:pPr>
            <w:r/>
            <w:r>
              <w:rPr>
                <w:rFonts w:ascii="仿宋_GB2312" w:hAnsi="仿宋_GB2312" w:eastAsia="仿宋_GB2312"/>
                <w:b w:val="0"/>
                <w:color w:val="000000"/>
                <w:sz w:val="32"/>
              </w:rPr>
              <w:t>2026年一季度</w:t>
            </w:r>
          </w:p>
        </w:tc>
        <w:tc>
          <w:tcPr>
            <w:tcW w:type="dxa" w:w="1984"/>
          </w:tcPr>
          <w:p>
            <w:pPr>
              <w:spacing w:lineRule="exact" w:line="600"/>
              <w:jc w:val="center"/>
            </w:pPr>
            <w:r/>
            <w:r>
              <w:rPr>
                <w:rFonts w:ascii="仿宋_GB2312" w:hAnsi="仿宋_GB2312" w:eastAsia="仿宋_GB2312"/>
                <w:b w:val="0"/>
                <w:color w:val="000000"/>
                <w:sz w:val="32"/>
              </w:rPr>
              <w:t>9.65</w:t>
            </w:r>
          </w:p>
        </w:tc>
        <w:tc>
          <w:tcPr>
            <w:tcW w:type="dxa" w:w="1984"/>
          </w:tcPr>
          <w:p>
            <w:pPr>
              <w:spacing w:lineRule="exact" w:line="600"/>
              <w:jc w:val="center"/>
            </w:pPr>
            <w:r/>
            <w:r>
              <w:rPr>
                <w:rFonts w:ascii="仿宋_GB2312" w:hAnsi="仿宋_GB2312" w:eastAsia="仿宋_GB2312"/>
                <w:b w:val="0"/>
                <w:color w:val="000000"/>
                <w:sz w:val="32"/>
              </w:rPr>
              <w:t>1.34</w:t>
            </w:r>
          </w:p>
        </w:tc>
        <w:tc>
          <w:tcPr>
            <w:tcW w:type="dxa" w:w="2551"/>
          </w:tcPr>
          <w:p>
            <w:pPr>
              <w:spacing w:lineRule="exact" w:line="600"/>
              <w:jc w:val="center"/>
            </w:pPr>
            <w:r/>
            <w:r>
              <w:rPr>
                <w:rFonts w:ascii="仿宋_GB2312" w:hAnsi="仿宋_GB2312" w:eastAsia="仿宋_GB2312"/>
                <w:b w:val="0"/>
                <w:color w:val="000000"/>
                <w:sz w:val="32"/>
              </w:rPr>
              <w:t>未审，单季扭亏</w:t>
            </w:r>
          </w:p>
        </w:tc>
      </w:tr>
    </w:tbl>
    <w:p>
      <w:pPr>
        <w:spacing w:lineRule="exact" w:line="600" w:before="120" w:after="120"/>
        <w:ind w:firstLine="420"/>
        <w:jc w:val="left"/>
      </w:pPr>
      <w:r>
        <w:rPr>
          <w:rFonts w:ascii="楷体_GB2312" w:hAnsi="楷体_GB2312" w:eastAsia="楷体_GB2312"/>
          <w:b w:val="0"/>
          <w:color w:val="000000"/>
          <w:sz w:val="32"/>
        </w:rPr>
        <w:t>（二）盈利能力</w:t>
      </w:r>
    </w:p>
    <w:p>
      <w:pPr>
        <w:spacing w:lineRule="exact" w:line="600" w:before="0" w:after="0"/>
        <w:ind w:firstLine="420"/>
        <w:jc w:val="both"/>
      </w:pPr>
      <w:r>
        <w:rPr>
          <w:rFonts w:ascii="仿宋_GB2312" w:hAnsi="仿宋_GB2312" w:eastAsia="仿宋_GB2312"/>
          <w:b w:val="0"/>
          <w:color w:val="000000"/>
          <w:sz w:val="32"/>
        </w:rPr>
        <w:t>2024—2025年公司处于产能爬坡与客户认证期，受折旧、能耗及原材料价格波动影响出现阶段性亏损；2026年一季度随新增产能达产及规模效应显现实现单季盈利，盈利拐点初现。非上市公司未公开披露毛利率等明细指标。</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公司近年持续大额资本开支用于产能建设，固定资产及在建工程规模较大，资产以生产经营性长期资产为主。具体资产结构数据未公开披露。</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公司扩张期债务融资与股权融资并行，资产负债率及有息负债明细未公开披露。2026年日科化学拟收购其70.75%股权，若完成将显著优化资本结构并增强融资能力。</w:t>
      </w:r>
    </w:p>
    <w:p>
      <w:pPr>
        <w:spacing w:lineRule="exact" w:line="600" w:before="120" w:after="120"/>
        <w:ind w:firstLine="420"/>
        <w:jc w:val="left"/>
      </w:pPr>
      <w:r>
        <w:rPr>
          <w:rFonts w:ascii="楷体_GB2312" w:hAnsi="楷体_GB2312" w:eastAsia="楷体_GB2312"/>
          <w:b w:val="0"/>
          <w:color w:val="000000"/>
          <w:sz w:val="32"/>
        </w:rPr>
        <w:t>（五）现金流</w:t>
      </w:r>
    </w:p>
    <w:p>
      <w:pPr>
        <w:spacing w:lineRule="exact" w:line="600" w:before="0" w:after="0"/>
        <w:ind w:firstLine="420"/>
        <w:jc w:val="both"/>
      </w:pPr>
      <w:r>
        <w:rPr>
          <w:rFonts w:ascii="仿宋_GB2312" w:hAnsi="仿宋_GB2312" w:eastAsia="仿宋_GB2312"/>
          <w:b w:val="0"/>
          <w:color w:val="000000"/>
          <w:sz w:val="32"/>
        </w:rPr>
        <w:t>公司处于重资产扩张阶段，投资性现金流持续净流出；经营性现金流随产能释放有望改善。具体现金流数据未公开披露。</w:t>
      </w:r>
    </w:p>
    <w:p>
      <w:pPr>
        <w:spacing w:lineRule="exact" w:line="600" w:before="120" w:after="120"/>
        <w:ind w:firstLine="420"/>
        <w:jc w:val="left"/>
      </w:pPr>
      <w:r>
        <w:rPr>
          <w:rFonts w:ascii="楷体_GB2312" w:hAnsi="楷体_GB2312" w:eastAsia="楷体_GB2312"/>
          <w:b w:val="0"/>
          <w:color w:val="000000"/>
          <w:sz w:val="32"/>
        </w:rPr>
        <w:t>（六）横向对标</w:t>
      </w:r>
    </w:p>
    <w:p>
      <w:pPr>
        <w:spacing w:lineRule="exact" w:line="600" w:before="0" w:after="0"/>
        <w:ind w:firstLine="420"/>
        <w:jc w:val="both"/>
      </w:pPr>
      <w:r>
        <w:rPr>
          <w:rFonts w:ascii="仿宋_GB2312" w:hAnsi="仿宋_GB2312" w:eastAsia="仿宋_GB2312"/>
          <w:b w:val="0"/>
          <w:color w:val="000000"/>
          <w:sz w:val="32"/>
        </w:rPr>
        <w:t>公司VC产能规模居行业第一梯队，与国内主要电解液添加剂厂商相比在单品规模与客户绑定深度上具备优势；盈利节奏受行业价格周期影响较大，需关注产品价格波动对盈利的扰动。</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公司为非上市股份有限公司，已建立股东会、董事会、监事会及经营管理层的治理架构；引入宁德时代、山东省财金投资等战略与国有股东后，治理规范化水平提升。</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法定代表人、董事长孙同乐为实际控制人代表；核心管理团队兼具化工材料产业与资本运作经验。</w:t>
      </w:r>
    </w:p>
    <w:p>
      <w:pPr>
        <w:spacing w:lineRule="exact" w:line="600" w:before="120" w:after="120"/>
        <w:ind w:firstLine="420"/>
        <w:jc w:val="left"/>
      </w:pPr>
      <w:r>
        <w:rPr>
          <w:rFonts w:ascii="楷体_GB2312" w:hAnsi="楷体_GB2312" w:eastAsia="楷体_GB2312"/>
          <w:b w:val="0"/>
          <w:color w:val="000000"/>
          <w:sz w:val="32"/>
        </w:rPr>
        <w:t>（三）组织内控</w:t>
      </w:r>
    </w:p>
    <w:p>
      <w:pPr>
        <w:spacing w:lineRule="exact" w:line="600" w:before="0" w:after="0"/>
        <w:ind w:firstLine="420"/>
        <w:jc w:val="both"/>
      </w:pPr>
      <w:r>
        <w:rPr>
          <w:rFonts w:ascii="仿宋_GB2312" w:hAnsi="仿宋_GB2312" w:eastAsia="仿宋_GB2312"/>
          <w:b w:val="0"/>
          <w:color w:val="000000"/>
          <w:sz w:val="32"/>
        </w:rPr>
        <w:t>公司按化工新材料企业标准建立安全生产、环境保护与质量管理体系，通过主要客户体系认证。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公司聚集了一批电解液添加剂研发与工程技术人才，研发与工艺团队支撑产能快速复制与产品迭代；具体人员规模未公开披露。</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（一）规模与客户壁垒</w:t>
      </w:r>
    </w:p>
    <w:p>
      <w:pPr>
        <w:spacing w:lineRule="exact" w:line="600" w:before="0" w:after="0"/>
        <w:ind w:firstLine="420"/>
        <w:jc w:val="both"/>
      </w:pPr>
      <w:r>
        <w:rPr>
          <w:rFonts w:ascii="仿宋_GB2312" w:hAnsi="仿宋_GB2312" w:eastAsia="仿宋_GB2312"/>
          <w:b w:val="0"/>
          <w:color w:val="000000"/>
          <w:sz w:val="32"/>
        </w:rPr>
        <w:t>规划产能约12万吨、占行业约40%，与宁德时代等头部客户深度绑定，形成显著的规模与渠道壁垒。</w:t>
      </w:r>
    </w:p>
    <w:p>
      <w:pPr>
        <w:spacing w:lineRule="exact" w:line="600" w:before="120" w:after="120"/>
        <w:ind w:firstLine="420"/>
        <w:jc w:val="left"/>
      </w:pPr>
      <w:r>
        <w:rPr>
          <w:rFonts w:ascii="楷体_GB2312" w:hAnsi="楷体_GB2312" w:eastAsia="楷体_GB2312"/>
          <w:b w:val="0"/>
          <w:color w:val="000000"/>
          <w:sz w:val="32"/>
        </w:rPr>
        <w:t>（二）技术工艺</w:t>
      </w:r>
    </w:p>
    <w:p>
      <w:pPr>
        <w:spacing w:lineRule="exact" w:line="600" w:before="0" w:after="0"/>
        <w:ind w:firstLine="420"/>
        <w:jc w:val="both"/>
      </w:pPr>
      <w:r>
        <w:rPr>
          <w:rFonts w:ascii="仿宋_GB2312" w:hAnsi="仿宋_GB2312" w:eastAsia="仿宋_GB2312"/>
          <w:b w:val="0"/>
          <w:color w:val="000000"/>
          <w:sz w:val="32"/>
        </w:rPr>
        <w:t>在VC/FEC合成与纯化工艺上积累深厚，产品一致性满足主流电池认证，具备工艺与成本优势。</w:t>
      </w:r>
    </w:p>
    <w:p>
      <w:pPr>
        <w:spacing w:lineRule="exact" w:line="600" w:before="120" w:after="120"/>
        <w:ind w:firstLine="420"/>
        <w:jc w:val="left"/>
      </w:pPr>
      <w:r>
        <w:rPr>
          <w:rFonts w:ascii="楷体_GB2312" w:hAnsi="楷体_GB2312" w:eastAsia="楷体_GB2312"/>
          <w:b w:val="0"/>
          <w:color w:val="000000"/>
          <w:sz w:val="32"/>
        </w:rPr>
        <w:t>（三）资本与产业协同</w:t>
      </w:r>
    </w:p>
    <w:p>
      <w:pPr>
        <w:spacing w:lineRule="exact" w:line="600" w:before="0" w:after="0"/>
        <w:ind w:firstLine="420"/>
        <w:jc w:val="both"/>
      </w:pPr>
      <w:r>
        <w:rPr>
          <w:rFonts w:ascii="仿宋_GB2312" w:hAnsi="仿宋_GB2312" w:eastAsia="仿宋_GB2312"/>
          <w:b w:val="0"/>
          <w:color w:val="000000"/>
          <w:sz w:val="32"/>
        </w:rPr>
        <w:t>获宁德时代战略入股及山东省财金投资支持，并拟被日科化学收购，产业与资本协同效应突出。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电解液添加剂行业受新能源周期与产能集中投放影响，存在产品降价与产能过剩风险。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公司近年阶段性亏损，盈利对产能达产进度与产品价格敏感；化工生产存在安全环保风险。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重资产扩张带来较大资本开支与债务压力，若盈利兑现不及预期将影响偿债能力。</w:t>
      </w:r>
    </w:p>
    <w:p>
      <w:pPr>
        <w:spacing w:lineRule="exact" w:line="600" w:before="120" w:after="120"/>
        <w:ind w:firstLine="420"/>
        <w:jc w:val="left"/>
      </w:pPr>
      <w:r>
        <w:rPr>
          <w:rFonts w:ascii="楷体_GB2312" w:hAnsi="楷体_GB2312" w:eastAsia="楷体_GB2312"/>
          <w:b w:val="0"/>
          <w:color w:val="000000"/>
          <w:sz w:val="32"/>
        </w:rPr>
        <w:t>（四）合规与管理风险</w:t>
      </w:r>
    </w:p>
    <w:p>
      <w:pPr>
        <w:spacing w:lineRule="exact" w:line="600" w:before="0" w:after="0"/>
        <w:ind w:firstLine="420"/>
        <w:jc w:val="both"/>
      </w:pPr>
      <w:r>
        <w:rPr>
          <w:rFonts w:ascii="仿宋_GB2312" w:hAnsi="仿宋_GB2312" w:eastAsia="仿宋_GB2312"/>
          <w:b w:val="0"/>
          <w:color w:val="000000"/>
          <w:sz w:val="32"/>
        </w:rPr>
        <w:t>拟被上市公司收购尚待监管审核，存在交易不确定性；化工企业需持续符合安全环保监管。</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公司通过绑定头部客户、提升规模效应、优化工艺降本及推进资本化运作应对上述风险。</w:t>
      </w:r>
    </w:p>
    <w:p>
      <w:pPr>
        <w:spacing w:lineRule="exact" w:line="600" w:before="120" w:after="120"/>
        <w:ind w:firstLine="420"/>
        <w:jc w:val="left"/>
      </w:pPr>
      <w:r>
        <w:rPr>
          <w:rFonts w:ascii="黑体" w:hAnsi="黑体" w:eastAsia="黑体"/>
          <w:b w:val="0"/>
          <w:color w:val="000000"/>
          <w:sz w:val="32"/>
        </w:rPr>
        <w:t>七、融资需求</w:t>
      </w:r>
    </w:p>
    <w:p>
      <w:pPr>
        <w:spacing w:lineRule="exact" w:line="600" w:before="120" w:after="120"/>
        <w:ind w:firstLine="420"/>
        <w:jc w:val="left"/>
      </w:pPr>
      <w:r>
        <w:rPr>
          <w:rFonts w:ascii="楷体_GB2312" w:hAnsi="楷体_GB2312" w:eastAsia="楷体_GB2312"/>
          <w:b w:val="0"/>
          <w:color w:val="000000"/>
          <w:sz w:val="32"/>
        </w:rPr>
        <w:t>（一）与山东投资协同方向</w:t>
      </w:r>
    </w:p>
    <w:p>
      <w:pPr>
        <w:spacing w:lineRule="exact" w:line="600" w:before="0" w:after="0"/>
        <w:ind w:firstLine="420"/>
        <w:jc w:val="both"/>
      </w:pPr>
      <w:r>
        <w:rPr>
          <w:rFonts w:ascii="仿宋_GB2312" w:hAnsi="仿宋_GB2312" w:eastAsia="仿宋_GB2312"/>
          <w:b w:val="0"/>
          <w:color w:val="000000"/>
          <w:sz w:val="32"/>
        </w:rPr>
        <w:t>结合山东投资业务牌照，建议从以下方向切入：</w:t>
      </w:r>
    </w:p>
    <w:p>
      <w:pPr>
        <w:spacing w:lineRule="exact" w:line="600" w:before="0" w:after="0"/>
        <w:ind w:firstLine="420"/>
        <w:jc w:val="both"/>
      </w:pPr>
      <w:r>
        <w:rPr>
          <w:rFonts w:ascii="仿宋_GB2312" w:hAnsi="仿宋_GB2312" w:eastAsia="仿宋_GB2312"/>
          <w:b w:val="0"/>
          <w:color w:val="000000"/>
          <w:sz w:val="32"/>
        </w:rPr>
        <w:t>1. 供应链金融：围绕对宁德时代、比亚迪等核心客户的应收账款，提供保理及反向保理服务，盘活营运资金。</w:t>
      </w:r>
    </w:p>
    <w:p>
      <w:pPr>
        <w:spacing w:lineRule="exact" w:line="600" w:before="0" w:after="0"/>
        <w:ind w:firstLine="420"/>
        <w:jc w:val="both"/>
      </w:pPr>
      <w:r>
        <w:rPr>
          <w:rFonts w:ascii="仿宋_GB2312" w:hAnsi="仿宋_GB2312" w:eastAsia="仿宋_GB2312"/>
          <w:b w:val="0"/>
          <w:color w:val="000000"/>
          <w:sz w:val="32"/>
        </w:rPr>
        <w:t>2. 融资租赁：针对新增产线设备购置，提供设备融资租赁，匹配重资产扩张节奏。</w:t>
      </w:r>
    </w:p>
    <w:p>
      <w:pPr>
        <w:spacing w:lineRule="exact" w:line="600" w:before="0" w:after="0"/>
        <w:ind w:firstLine="420"/>
        <w:jc w:val="both"/>
      </w:pPr>
      <w:r>
        <w:rPr>
          <w:rFonts w:ascii="仿宋_GB2312" w:hAnsi="仿宋_GB2312" w:eastAsia="仿宋_GB2312"/>
          <w:b w:val="0"/>
          <w:color w:val="000000"/>
          <w:sz w:val="32"/>
        </w:rPr>
        <w:t>3. 小贷/流动资金贷款：在合规前提下，为产能爬坡期提供短期流动性支持。</w:t>
      </w:r>
    </w:p>
    <w:p>
      <w:pPr>
        <w:spacing w:lineRule="exact" w:line="600" w:before="0" w:after="0"/>
        <w:ind w:firstLine="420"/>
        <w:jc w:val="both"/>
      </w:pPr>
      <w:r>
        <w:rPr>
          <w:rFonts w:ascii="仿宋_GB2312" w:hAnsi="仿宋_GB2312" w:eastAsia="仿宋_GB2312"/>
          <w:b w:val="0"/>
          <w:color w:val="000000"/>
          <w:sz w:val="32"/>
        </w:rPr>
        <w:t>4. 并购协同：借助山东投资资本纽带，支持日科化学收购后的整合与再融资安排。</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亘元新材是文登新能源电池功能材料集群的链主型企业，产能规模与客户端优势突出，2026年一季度已现盈利拐点，具备成长为电解液添加剂龙头的潜力。</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据公司规划与行业趋势，2026年底VC产能有望达约12万吨、占行业约40%；若被日科化学收购完成，将进一步提升资本实力与规范治理。</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需应对产品价格周期、重资产折旧及安全环保监管等挑战。</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建议山东投资以供应链金融与融资租赁先行切入，关注并购整合后的债股联动机会，在风险可控前提下深化产融协同。</w:t>
      </w:r>
    </w:p>
    <w:p>
      <w:pPr>
        <w:spacing w:lineRule="exact" w:line="600" w:before="0" w:after="0"/>
        <w:jc w:val="left"/>
      </w:pPr>
      <w:r>
        <w:rPr>
          <w:rFonts w:ascii="仿宋_GB2312" w:hAnsi="仿宋_GB2312" w:eastAsia="仿宋_GB2312"/>
          <w:b w:val="0"/>
          <w:color w:val="000000"/>
          <w:sz w:val="28"/>
        </w:rPr>
        <w:t>数据来源说明：天眼查/企查查工商信息、日科化学（300214）公告、东方财富及同花顺公开数据、公司公开报道与行业研报、威海市及文登区产业公开资料等。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