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威海市文登区新能源电池功能材料特色产业集群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山东汉行新能源材料有限公司企业分析报告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新三板公告、交易所及巨潮披露、东方财富、同花顺、天眼查/企查查、公司官网及权威媒体等公开渠道，统计时点截至最新披露信息；非上市企业未公开披露之财务数据已如实标注，未作任何虚构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汉行新能源材料有限公司成立于2023年2月21日，法定代表人为林汝琴，注册资本10,000万元，注册地址位于威海市南海新区阳光路40号。公司为有限责任公司（非自然人投资或控股的法人独资），由上海汉行科技有限公司100%控股，系文登（南海）新能源电池功能材料集群的钠离子电池材料重点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公司为上海汉行科技全资子公司，实行母公司统筹下的本地化经营管理，下设生产、技术、安环及行政等职能部门，项目建设与运营由南海新区基地团队负责。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公司2023年设立后即启动钠离子电池正极材料及电解液项目，总投资约21.3亿元；2026年入选省级新旧动能转换重大产业攻关储备项目，1—2号车间在建（规划产能4万吨），7号车间进入调试阶段。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公司定位为钠离子电池关键材料供应商，主营钠离子电池正极材料（层状氧化物等体系）及配套电解液，面向储能及低速动力等钠电应用场景。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公司业务聚焦钠电正极材料及电解液两大板块，目前处于产能建设与试产阶段，尚未形成规模化收入。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主要产品为钠离子电池正极材料（规划年产9万吨）及电解液（规划年产5万吨），覆盖层状氧化物等主流技术路线。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公司处于建设期，下游客户正在认证与对接中，具体客户名单未公开披露；依托母公司上海汉行科技在钠电领域的产业资源开展市场拓展。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原材料以钠电正极所需金属盐及电解液溶质等为主，供应商及采购模式未公开披露。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（五）产能、资源与牌照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项目总投资约21.3亿元，规划年产9万吨钠电正极材料、5万吨电解液；1—2号车间在建（产能约4万吨），7号车间调试。公司持有化工生产建设所需相关资质。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销售依托母公司技术及客户网络，以钠电电芯厂及储能系统集成商为目标客群，采用直供与技术合作模式。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公司尚处建设爬坡期，财务数据未公开披露，暂无成熟市占率数据；项目全面达产后有望在钠电正极材料领域占据一定区域份额。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公司为2023年新设建设期企业，未公开披露近三年经审计财务报表，财务数据未公开披露，以下不作虚构列示。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建设期以资本开支为主，尚未形成规模化经营利润，盈利能力待产能释放后评估。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资产以在建工程、设备类固定资产及土地使用权为主，资产质量与项目建设进度相关。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项目总投资约21.3亿元，预计以股权融资与债务融资组合支撑，具体负债结构未公开披露。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建设期经营活动现金流有限，现金流以投资活动净流出为主，依赖股东投入及融资。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与国内钠电正极材料同业相比，公司依托母公司技术背景与山东省产业配套，具备后发产能与政策资源优势。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公司作为全资子公司，治理纳入母公司上海汉行科技统一体系，本地设经营管理团队。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法定代表人林汝琴，管理团队由母公司派驻与本地招聘结合。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按化工新材料企业标准建立安全、环保与质量内控体系。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据公开信息，公司现有员工约40人，随项目推进人员将持续扩充，技术与工程人才是核心资源。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（一）技术与路线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依托上海汉行科技钠电技术背景，在正极材料及电解液配方上具备技术积累。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（二）产能与政策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21.3亿元总投资、入选省级重大产业攻关储备项目，产能与政策资源兼备。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（三）区位配套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位于南海新区，享受新区化工与新能源产业配套及政策支持。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钠离子电池产业化与商业化节奏存在不确定性，若下游需求释放不及预期将影响产能消化。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建设期长、试产与客户认证存在周期，短期内难以贡献利润。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大额资本开支带来融资与偿债压力，若融资不及预期将影响项目建设进度。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（四）合规与管理风险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化工生产建设须持续符合安全环保监管要求，新建项目需通过各项验收。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公司通过绑定母公司技术客户资源、争取政策与金融支持、稳步推进产线调试应对风险。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（一）与山东投资协同方向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融资租赁：针对正极材料及电解液产线设备，提供设备融资租赁，缓解建设期资金压力。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2. 供应链金融：围绕未来对电芯厂应收账款开展保理，前置布局。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3. 项目贷/小贷：在合规前提下支持设备采购与流动资金。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4. 股权协同：借助山东投资资本网络，引荐产业与金融资源。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（一）综合评价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汉行新材是南海新区钠电材料赛道的重要新锐，技术背景与政策资源突出，但尚处建设期、短期无规模化收入。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（二）发展展望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据公司规划与行业趋势，随1—2号车间及7号车间投产，2026年起将逐步释放产能，抢占钠电材料窗口期。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需跨越建设、认证与盈利三重门槛，并应对钠电商业化节奏不确定性。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（四）结论与建议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建议山东投资以融资租赁与项目融资为先导，跟踪产能释放与客户认证进度，择机布局债股协同。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数据来源说明：天眼查/企查查工商信息、山东省及威海市新旧动能转换项目公开名单、南海新区产业公开资料、公司公开报道等。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