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威海市火炬高技术产业开发区时尚设计制造产业集群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金猴集团有限公司企业分析报告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（本报告数据来源于国家企业信用信息公示系统、天眼查、爱企查及公开资料。统计时点截至2025—2026年公开披露信息。公司为非上市民营企业，财务数据未公开披露，已如实标注。）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猴集团有限公司成立于1981年6月16日，法定代表人为柳富林，统一社会信用代码为913710001666819345，企业类型为有限责任公司（自然人投资或控股）。公司注册资本为5007万元人民币，注册地址位于威海市和平路106号，登记机关为威海市市场监督管理局，经营状态为存续（开业）。经营范围为鞋、皮革制品、皮鞋材料、塑料制品、服装、服饰、帐篷的制造销售，货物技术进出口，特种劳动防护用品制作销售，黄金销售，仓储及对外投资等。曾用名包括威海市金猴集团有限责任公司、威海市皮鞋工业集团公司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结构为：柳富林持股56.52%、金猴集团有限公司工会委员会持股34.02%、毕建萍持股9.14%、赵维堂持股0.32%。柳富林为实际控制人。公司对外投资30家企业，设有11处分支机构，形成以鞋服制造为核心的产业集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1951年成立的威海市皮鞋厂，历经威海市皮鞋工业集团公司等阶段，2001年改制为有限责任公司。深耕鞋履与皮革制品制造七十余年，发展为老牌皮革鞋服制造企业。曾获"威海市关心国防建设先进单位""威海市地方纳税50强（2022）"，并两度登上中国制造业企业500强和中国制造业民营企业500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公司定位为老牌皮革鞋服制造企业，拥有中国驰名商标。主营业务为鞋、皮革制品、皮鞋材料、服装、服饰、帐篷的制造与销售，并凭资质从事特种劳动防护用品（含军品）制作销售及黄金销售。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公司业务以鞋履及皮革制品制造销售为主，并涵盖服装服饰、特种劳保用品（含军品）及黄金销售。具体收入构成未公开披露。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核心产品为各类鞋（含皮鞋、劳保工作鞋、军用鞋）、皮革制品、服装服饰、帐篷，以及特种劳动防护用品与黄金销售。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下游包括民用消费客群、企事业单位劳保采购及军品供应。公开资料显示公司曾接待联勤保障部队首长莅临指导军品生产，军品与劳保渠道稳定。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主要采购皮革、鞋材、橡胶及五金配件，供应链成熟。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公司拥有115个注册商标、26个专利，具备特种劳动防护用品生产资质，并承担军品生产任务。对外投资30家、分支机构11处，产能与渠道网络完善。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销售以自有品牌经销、劳保与军品集采、电商结合，依托"金猴"中国驰名商标的市场认知。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公司为非上市企业，财务数据未公开披露。公开资料显示其为A级纳税人，员工参保信息显示规模中等，但营业收入与市场占有率无公开量化数据。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金猴集团有限公司为非上市民营企业，未强制披露经审计年度财务报告，近三年营业收入、净利润、毛利率、资产负债率、经营活动现金流均未公开，本段不作编造。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鞋履制造毛利率受原料（皮革）价格与品牌溢价影响，军品与特种劳保具备一定溢价，但具体盈利指标未公开。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注册资本5007万元，资产以厂房、设备、商标（中国驰名商标）及专利为主，品牌资产价值突出。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资产负债率未公开。公司两度入选中国制造业500强、纳税50强，信用状况良好，公开渠道未见重大债务违约。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经营现金流数据未公开。制造与经销需维持库存，对流动资金有一定占用。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与A股皮鞋上市企业（如红蜻蜓、奥康）相比，金猴以军品/劳保差异化与区域品牌立足，规模与资本化程度上弱于上市同业。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公司为自然人投资或控股的有限责任公司，法定代表人、董事长柳富林为实际控制人，设董事会与经营管理层，工会持股34%体现职工持股特征。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柳富林主导战略与经营，管理团队深耕皮革鞋服行业数十年。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公司建立党组织与现代化管理制度，通过ISO等质量体系与军品生产规范强化内控。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参保人数公开显示为0（年报口径异常，或为总部口径），对外投资30家、分支机构11处，实际用工以制造技工为主，规模中等。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品牌：中国驰名商标"金猴"，七十余年积淀；第二，军品与劳保资质：具备特种劳动防护用品与军品生产资质，渠道稳定；第三，专利与研发：26项专利、115项商标；第四，全产业链：鞋材—制造—销售一体化，对外投资30家协同；第五，荣誉背书：两度中国制造业500强、纳税50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鞋服行业竞争激烈、消费迭代快，且受原材料价格波动影响。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公开资料显示公司涉及一定数量经营纠纷与涉诉关系（约24起），多属买卖与合同类，需关注回款与履约。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军品生产涉及保密与质量合规；作为民营企业资本补充渠道有限。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公司以品牌与军品资质稳固核心业务；以智能生产与研发升级提升效率。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对企事业单位与军品应收账款可开展保理。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围绕皮革鞋材采购可开展供应链金融。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智能生产线与设备可采用融资租赁。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可作季节性流动资金补充。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金猴集团是威海火炬高区时尚制造的代表性老牌企业，品牌与军品/劳保资质构成核心壁垒。综合评价：品牌与资质优势突出，但规模与资本化有限、需应对消费与竞争挑战。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发展展望：军品、特种劳保与智能鞋服需求稳定，公司可借智能化改造提升竞争力。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建议：一是与山东投资在供应链金融、设备融资租赁方面合作；二是推动智能生产降低人工依赖；三是强化品牌年轻化与电商渠道；四是规范财务披露以拓宽授信。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数据来源说明：工商与股权信息来源于国家企业信用信息公示系统、天眼查、爱企查；资质与荣誉信息来源于公开资料；财务数据因公司非上市未公开，已如实标注。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