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威海市环翠区交通装备特色产业集群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三角轮胎股份有限公司企业分析报告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角轮胎股份有限公司成立于2001年2月22日（前身威海轮胎厂始建于1976年），法定代表人为丁木，统一社会信用代码91370000726700647B，企业类型为股份有限公司（上市），注册资本80,000万元，注册地址位于山东省威海市青岛中路56号，2006年9月创立、2016年9月9日在上交所主板上市（股票代码601163），保荐机构与审计机构为信永中和会计师事务所。截至2024年末员工总数5,854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公众上市公司，股权较为分散；前十大股东以机构与自然人为主（公开信息未列明单一绝对控股股东）。实际控制关系依最新年报披露，无单一国有控股股东，属民营控股上市企业。公司下设威海华茂、华阳、华新、华达、华盛等橡胶科技分公司及轮胎设计制造工艺研究院，并在境内设昆明、南宁、成都等销售分公司（部分已注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监事会及经营管理层；董事长丁木，总经理林小彬，董事、副总经理、财务负责人兼董秘钟丹芳。下辖华盛、华茂、华阳、华达、华新五大生产基地（均位于威海）及研究院、再生资源等分公司；海外布局美国北卡罗来纳州生产基地（2024年投产）、柬埔寨柴桢省基地（2026年开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为1976年成立的威海轮胎厂；2001年整体改制为三角轮胎股份有限公司；2016年9月登陆上交所；2024年美国工厂正式投产（年产能500万条、本地化率超60%）；2026年3月柬埔寨柴桢省基地开工建设（总投资32.19亿元，规划年产700万条高性能子午线轮胎，预计2027年下半年投产）。公司获国家认定企业技术中心、轮胎设计与制造工艺国家工程实验室、国家级工业设计中心三大创新平台，多次获国家及行业科技奖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轮胎设计、制造与营销于一体的专业化轮胎制造商及供应商，全球化品牌企业。主营业务为各种轮胎的研发、制造和销售，产品涵盖商用车胎、乘用车胎、工程胎、巨胎和特种车胎（含大飞机轮胎、军用轮胎等），轮胎业务收入占比超99%。公司50%以上产品销往国际市场，营销网络覆盖全球180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构成：轮胎收入100.83亿元（占比99.28%），保理收入2,751.94万元（0.27%），运输收入417.15万元（0.04%）。按地区：国外收入约58.52%、国内约41.12%（2025年口径：国外57.47亿元/58.52%，国内40.38亿元/41.12%）。五大生产基地分工：华盛（乘用车胎、工程子午胎、巨胎）、华茂（商用车胎）、华阳（高性能乘用车胎）、华达（翻新轮胎）、华新（斜交工程胎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商用车胎（卡客车胎，行驶里程超40万公里，面向中国重汽、一汽、东风等）、乘用车胎（"e旅"系列覆盖新能源出行）、工程胎与巨胎（46—63英寸全系列工程巨胎矩阵，单胎承重超100吨，配套三一、卡特彼勒等）、特种轮胎（大飞机轮胎、军用轮胎，军用轮胎30余规格近百品种）。截至2025年6月末累计专利1,171项（发明104项、国际专利52项），主持/参与国家行业标准153项、国际标准13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套市场：直接为中国重汽、三一、东风等50多家汽车及20多家工程机械制造商配套，国际配套含卡特彼勒、特雷克斯、斗山、现代、沃尔沃等；替换市场：覆盖全国80%以上县市级地区，"轮胎保"注册门店超4.3万家、星级门店4,000多家。2024年前五大客户合计销售20.16亿元（占比19.85%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生产所需天然橡胶、合成橡胶、钢帘线、炭黑等为主要采购对象；2024年前五大供应商采购金额17.73亿元（占比26.73%）。公司采取远期与即期结合采购控制原料成本，受橡胶、钢材行情波动影响显著。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2024年底年制造能力约2,688万条（商用车胎650万条、乘用车胎2,000万条、工程胎38万条），均位于威海；美国工厂2024年投产（500万条/年）；柬埔寨基地规划700万条/年。持有国家认定企业技术中心、轮胎设计与制造工艺国家工程实验室、国家级工业设计中心；通过质量/环境/职业健康安全等体系认证；自主研发"全电磁感应加热金属内模定型智能硫化工艺"等核心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坚持全球化自主品牌，原配市场与主机厂联合研发，替换市场以门店网络（注册门店超4.3万家）覆盖；海外在北美、欧洲、中南美、澳洲设本土化分支机构，品牌店600多家；与泰坦国际签10年独家分销协议（非公路轮胎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101.56亿元（同比-2.55%），归母净利润11.03亿元（同比-21.03%），轮胎产量销量居国内前列。国内年产超2,600万条，为全球主要轮胎供应商之一；工程巨胎技术领先，非洲等海外工程胎年增长超20%。注：受欧盟反倾销、原料与出口波动影响，2024年毛利率回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三角轮胎为A股上市公司（601163.SH），财务数据来自2022—2024年年度报告（巨潮资讯网、东方财富），单位：亿元。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92.20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104.22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101.56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7.38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13.96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11.03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14.83%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21.51%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17.95%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33.89%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31.38%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30.27%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14.87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17.98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9.88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基本每股收益(元)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1.75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1.38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加权ROE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6.46%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11.37%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8.38%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92.20亿元增至2023年104.22亿元（+13.03%），2024年回落至101.56亿元（-2.55%）；归母净利润2022年7.38亿元、2023年13.96亿元（+89.29%）、2024年11.03亿元（-21.03%）；毛利率2024年17.95%（同比降3.42个百分点），主因原料价格与出口波动、欧盟反倾销影响。研发投入2024年4.32亿元（同比+0.8%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总计192.79亿元，其中固定资产较上年末减少7.92%，货币资金增13.94%；存货账面价值11.93亿元（占比净资产的8.88%，存货跌价准备2,737万元）。资产结构以固定资产、货币资金、存货为主，重资产属性明显但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负债合计58.36亿元，资产负债率30.27%（较2022年33.89%下降），流动比率2.45、速动比率2.23，有息负债率24.41%，短期偿债压力低，财务杠杆稳健。短期借款较上年增32.12%，长期借款降100%，债务结构以短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9.88亿元（同比-45.08%），销售现金比率9.73%、净利润现金含量89.56%；投资活动现金流-2.16亿元（美国/柬埔寨基地建设），筹资活动-4.98亿元（分红）。自由现金流7.06亿元，整体现金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轮胎行业（对标中策、赛轮、玲珑、贵州轮胎等百亿级企业），三角轮胎2024年营收101.56亿元稳居百亿梯队；毛利率17.95%处于行业中游（受出口与原料影响），资产负债率30.27%优于多数同行，财务稳健性突出；工程巨胎细分技术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A股上市公司，设董事会（董事长丁木）、监事会及管理层；2023年度股东大会审议财务决算与利润分配（10派6.7元）。审计机构为信永中和（标准无保留意见）。治理规范，定期披露年报与ESG相关事项。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董事长丁木（2023年薪酬90万元）；董事、总经理林小彬（91.59万元）；董事、副总经理、财务负责人兼董秘钟丹芳（48.09万元）。核心管理层行业经验丰富。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通过质量、环境、职业健康安全等体系认证；设三大国家级研发平台与海外（美国阿克隆）研发中心；建立节能减排与数字化制造体系，内控较完备。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2024年员工5,854人，人均创收173.48万元、人均创利18.84万元、人均薪酬12.46万元；技术研发人员占比较高，拥有国务院津贴、行业领军人才。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全球布局：年产能超2,600万条（威海五大基地）+美国500万条+柬埔寨700万条规划，覆盖180多国，50%以上出口。二是技术与研发：国家认定企业技术中心等三大平台，专利1,171项、国际专利52项，参与国标153项、国际标准13项，智能硫化等核心工艺领先。三是产品矩阵：商用车/乘用车/工程巨胎/特种胎全覆盖，工程巨胎46—63英寸全系列、军用轮胎近百品种。四是客户壁垒：配套中国重汽、三一、卡特彼勒等，替换门店超4.3万家。五是财务稳健：资产负债率约30%，现金流健康，抗风险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贸易摩擦风险：欧盟对中国轮胎"双反"调查致对欧出口波动（2025年10—11月出口降幅36%—50%），美国工厂与柬埔寨项目可部分对冲，但地缘与关税风险仍存。二是原料价格风险：天然/合成橡胶、钢帘线价格随行情波动，挤压毛利（2024毛利率降3.42pp）。三是行业竞争风险：国内价格战转向价值战，头部集中度提升，须持续差异化。四是汇率风险：50%以上出口，汇率波动影响业绩。五是产能消化风险：美国、柬埔寨新基地投产需匹配需求，存在节奏错配可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主机厂与海外经销商的应收账款账期较长，可开展应收账款保理盘活资金。供应链金融：围绕天然橡胶、钢帘线等上游供应商提供订单与存货融资，服务链条企业。融资租赁：美国/柬埔寨新基地及威海智能化产线设备投资巨大，适合以新购设备直租/回租。小贷：面向中小配套供应商短期周转。三角轮胎财务稳健、资质优良、全球化布局清晰，是交通装备集群旗舰客户，建议以"海外应收保理+设备融资租赁"组合切入，并关注贸易摩擦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三角轮胎是环翠交通装备集群的旗舰上市企业、全球轮胎百亿级供应商，规模、技术、全球布局与财务稳健性突出，但受贸易摩擦、原料与出口波动影响业绩阶段性回落。发展展望：据公司规划与行业趋势，美国与柬埔寨基地投产、工程巨胎与新能源轮胎拓展将支撑增长；2025年营收98.21亿元、归母9.23亿元，2026年Q1海外营收同比+23%显现韧性。建议：一是对接海外应收保理与基地设备融资租赁；二是关注欧盟"双反"、汇率与原料价格风险，设置动态监测；三是以供应链金融服链属中小企业，形成批量资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数据来源说明：三角轮胎2022—2024年年度报告（巨潮资讯网）、东方财富/同花顺F10、上海证券交易所公告、公司官网 triangle.com.cn（产能与产品）、公开新闻（美国/柬埔寨基地、欧盟双反）。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