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威海市环翠区碳纤维及复合材料特色产业集群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威海宝威新材料科技有限公司企业分析报告</w:t>
      </w:r>
    </w:p>
    <w:p>
      <w:pPr>
        <w:spacing w:lineRule="exact" w:line="600" w:before="0" w:after="0"/>
        <w:jc w:val="left"/>
      </w:pPr>
      <w:r>
        <w:rPr>
          <w:rFonts w:ascii="仿宋_GB2312" w:hAnsi="仿宋_GB2312" w:eastAsia="仿宋_GB2312"/>
          <w:b w:val="0"/>
          <w:color w:val="000000"/>
          <w:sz w:val="28"/>
        </w:rPr>
        <w:t>（本报告基于天眼查、企查查、爱企查、公司官网（bovee.cn）等公开渠道整理。该公司为非上市民营企业，财务数据未公开披露，相关部分已如实标注。）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威海宝威新材料科技有限公司（曾用名：威海市宝威渔具有限公司）成立于2001年8月3日，注册地址位于山东省威海市环翠区张村镇东鑫路-50-1-2号，法定代表人为姜波。公司注册资本2,682.34万元，实缴资本2,682.34万元，企业类型为有限责任公司（自然人投资或控股），统一社会信用代码913710027306687319，登记机关为威海市环翠区市场监督管理局，为一般纳税人。经营范围涵盖高性能纤维及复合材料制造与销售、新材料技术研发、民用航空材料销售、增材制造及装备、模具、人工智能应用软件开发、工业互联网数据服务、3D打印服务等。</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由姜波持股98.6952%、常文馨持股1.3048%，为家族式控股的民营企业。姜波任执行董事兼总经理，常文馨任监事。公司对外投资1家企业，设有2家分支机构，旗下拥有"宝威新材料"品牌。公司曾获国家级新一代信息技术与制造业融合发展试点示范项目、山东省智能工厂、威海市无人车间等荣誉。</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为威海市宝威渔具有限公司，成立于2001年，早期从事渔具相关业务，后战略转型聚焦碳纤维复合材料。2016年完成股权融资，并逐步建设智能工厂。2021年先后获评国家级新一代信息技术与制造业融合发展试点示范项目、工业互联网平台创新领航应用案例、山东省瞪羚企业、山东省智能工厂等。2025年入选国家级专精特新"小巨人"企业（体育领域），并通过AS9100航空质量体系认证。</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高性能碳纤维复合材料研发制造商，是集科研、生产、经贸为一体的国家高新技术企业。主要产品包括碳纤维材料、碳纤维预浸布、碳布，以及"拓力"牌超薄碳纤维预浸料系列产品（碳布、碳带、玻璃布、预浸碳丝等），并提供全模量、多种树脂含量的碳纤维复合材料解决方案，应用于体育休闲、民用航空、电子等领域。</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公司业务以碳纤维预浸料及复合材料制品为主，同时依托数字化与自动化产线提供高性能、高一致性的碳纤维材料。公开渠道未披露分业务营收占比，财务数据未公开。</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拓力"牌超薄碳纤维预浸料系列，覆盖碳布、碳带、玻璃布、预浸碳丝等多规格，支持全模量与多种树脂含量定制；同时生产碳纤维复合材料制品，并为白鲸航线W5000货运无人机提供机身复合材料（据公开报道）。</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公司客户覆盖体育休闲、民用航空、电子等领域的复合材料应用企业。公开披露显示其为白鲸航线W5000货运无人机机身材料供应商，体现其在航空级复合材料领域的配套能力。具体客户结构与销售占比未公开。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公司采购内容主要为碳纤维原丝、树脂基体及辅料。作为产业链中游企业，其上游依赖碳纤维原丝供应。具体供应商信息未公开。</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公司建有智能工厂与无人车间，配备自动化产线与工业互联网平台，具备AS9100航空质量体系认证，并获产品碳足迹证书、温室气体核查声明。拥有专利57项、商标26项、软件著作权1项，行政许可42项。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公司采用"科研+生产+经贸"一体化模式，通过直销与行业客户配套开展销售，并借助数字化营销与品牌推广拓展市场。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截至2024年，公司参保人数约47人，人员规模小于50人，属小微企业。年营业收入、利润等财务指标未公开披露。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该公司为非上市民营企业，财务数据未公开披露，无法获取近三年营收、净利润、资产负债率等具体指标。以下为公开可查的基础信息：注册资本2,682.34万元，实缴资本2,682.34万元。</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财务数据未公开披露。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财务数据未公开披露。</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财务数据未公开披露。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因财务数据未公开，暂无法开展同业量化对标。从资质看，公司属国家级专精特新"小巨人"、山东省瞪羚企业，技术实力与数字化水平在细分领域居前。</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公司为自然人控股的有限责任公司，治理结构相对精简，由股东会、执行董事、监事构成。控股股东、实际控制人为姜波（持股98.6952%）。</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姜波担任执行董事兼总经理，为企业核心决策者；常文馨任监事。管理层深耕碳纤维复合材料领域多年。</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公司通过AS9100航空质量体系、国家级智能工厂与工业互联网平台，建立了较规范的生产与质量管理体系。</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截至2024年参保人数约47人，团队精干，注重研发与自动化生产人才建设。</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技术与认证壁垒：拥有AS9100航空质量体系认证及57项专利，具备航空级复合材料配套能力；第二，数字化与自动化壁垒：国家级智能工厂、无人车间与工业互联网平台，产品一致性高；第三，产品差异化："拓力"牌超薄碳纤维预浸料系列在细分领域具品牌认知；第四，专精特新资质：国家级"小巨人"与瞪羚企业，享受政策与资源倾斜；第五，产业链协同：作为威海碳纤维及复合材料产业链重要成员，融入区域集群生态。</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碳纤维及复合材料行业竞争激烈，上游原丝价格波动与下游需求变化可能影响盈利。</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公司规模偏小（参保约47人），抗风险能力有限；客户相对集中时易受单一订单波动影响。</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财务数据未公开，但小微企业属性意味着融资能力与资金缓冲相对有限。</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天眼查、爱企查显示公司存在少量涉诉关系（天眼风险信息37条、涉诉关系8条；爱企查显示曾涉及立案及开庭公告），金额与性质未达重大，但需持续关注。</w:t>
      </w:r>
    </w:p>
    <w:p>
      <w:pPr>
        <w:spacing w:lineRule="exact" w:line="600" w:before="120" w:after="120"/>
        <w:ind w:firstLine="420"/>
        <w:jc w:val="left"/>
      </w:pPr>
      <w:r>
        <w:rPr>
          <w:rFonts w:ascii="楷体_GB2312" w:hAnsi="楷体_GB2312" w:eastAsia="楷体_GB2312"/>
          <w:b w:val="0"/>
          <w:color w:val="000000"/>
          <w:sz w:val="32"/>
        </w:rPr>
        <w:t>（五）企业应对措施</w:t>
      </w:r>
    </w:p>
    <w:p>
      <w:pPr>
        <w:spacing w:lineRule="exact" w:line="600" w:before="0" w:after="0"/>
        <w:ind w:firstLine="420"/>
        <w:jc w:val="both"/>
      </w:pPr>
      <w:r>
        <w:rPr>
          <w:rFonts w:ascii="仿宋_GB2312" w:hAnsi="仿宋_GB2312" w:eastAsia="仿宋_GB2312"/>
          <w:b w:val="0"/>
          <w:color w:val="000000"/>
          <w:sz w:val="32"/>
        </w:rPr>
        <w:t>公司通过数字化、智能化改造提升产品精度与质量稳定性，并融入区域产业链协同创新，降低单体经营风险。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国家级专精特新"小巨人"与航空级复合材料配套企业，宝威新材料存在设备升级、产能扩张的融资需求：一是针对智能工厂二期或新增产线，可提供融资租赁；二是基于其对核心客户的应收账款，可开展保理业务；三是对原材料采购，可探索供应链金融支持；四是作为优质科创企业，可对接小贷或投贷联动服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宝威新材料是威海碳纤维及复合材料产业链中具备航空级配套能力的高成长性专精特新"小巨人"，数字化与自动化水平突出，但企业规模偏小、财务透明度有限。发展展望：受益于航空航天、体育休闲等领域对轻量化材料的需求增长，公司有望持续扩张。建议：山东投资可在尽职调查与风控前提下，优先以供应链金融、融资租赁等债权方式切入，并关注其股权融资轮次，谨慎评估后参与。</w:t>
      </w:r>
    </w:p>
    <w:p>
      <w:pPr>
        <w:spacing w:lineRule="exact" w:line="600" w:before="0" w:after="0"/>
        <w:jc w:val="left"/>
      </w:pPr>
      <w:r>
        <w:rPr>
          <w:rFonts w:ascii="仿宋_GB2312" w:hAnsi="仿宋_GB2312" w:eastAsia="仿宋_GB2312"/>
          <w:b w:val="0"/>
          <w:color w:val="000000"/>
          <w:sz w:val="28"/>
        </w:rPr>
        <w:t>数据来源说明：本报告中工商信息、股权结构、资质荣誉、知识产权等来源于天眼查、企查查、爱企查公开数据及公司官网（bovee.cn）；业务与产品信息来源于公司官网及公开媒体报道。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