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威海经济技术开发区船舶及海工装备制造特色产业集群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山东新船海工装备有限公司企业分析报告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基于天眼查/水滴信用/企查查工商信息及关联企业山东新船重工公开资料整理。山东新船海工装备有限公司为非上市民营企业（2023年新设），财务数据未公开披露，以下采用工商公开信息与关联企业口径（山东新船重工年销售收入约1.5亿元）并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新船海工装备有限公司成立于2023年8月30日，法定代表人隋文超，注册资本9000万元人民币（实缴9000万元），统一社会信用代码91371000MACWCPXE6F；注册地山东省威海经济技术开发区崮山镇崮山路-55-3号；企业类型为有限责任公司（自然人投资或控股），股东烟台文欣海工装备有限公司90%、威海诺航船舶工程有限公司10%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设执行董事兼总经理/财务负责人隋文超、监事隋玉贵；关联山东新船重工船用钢质舾装件有限公司。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2023年新设，承接船舶与海工配套制造；关联企业山东新船重工船用钢质舾装件有限公司成立于2007年，是胶东半岛同类规模较大企业。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定位为船舶与海工金属结构及配套设备制造商，主营金属结构制造、船用配套设备制造、喷涂加工。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以船用钢质舾装件、金属结构、喷涂加工为主。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船舶/海工金属结构、船用配套设备、喷涂加工（关联企业具备数控等离子/激光切割、卷板、焊接等能力）。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下游为造船厂与海工企业（如威海本地船厂），配套供应。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采购钢材、焊材等，受钢价影响。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实缴资本9000万元；关联山东新船重工占地约6万㎡、标准厂房2万㎡、职工180人、年销售收入1.5亿元，通过ISO9001及多项焊接工艺认证（ISO15614、ISO9606）。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以造船厂配套直销为主。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（七）经营数据和市场占有率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新公司2023年设立、参保64人（天眼查）；关联企业山东新船重工年销售收入约1.5亿元。具体市占率未公开。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民营企业（2023年新设），近三年完整财务数据未公开披露。公开信息：注册资本9000万元（实缴9000万元）、参保64人；关联企业山东新船重工年销售收入约1.5亿元。具体营收、资产负债、现金流未披露，不予编造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民营企业治理，隋文超控股并任执行董事兼总经理/财务负责人。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法定代表人/执行董事兼总经理/财务负责人隋文超，监事隋玉贵。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通过ISO9001及船用焊接工艺认证，质量内控完备。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参保64人（新公司），关联企业180人；焊接与技术工人为主。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一是资质壁垒：ISO9001与船用焊接工艺认证（ISO15614/ISO9606）。二是设备壁垒：数控切割、卷板、大型吊装（10—150吨吊车19台）。三是协同壁垒：依托威海船舶集群配套需求。四是资本壁垒：实缴9000万元。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（一）行业与经营风险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新设企业尚处爬坡；船舶周期波动；客户依赖本地船厂；钢价波动。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拓展船用配套品类；强化焊接与质控资质；深化本地船厂协同。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：对船厂应收账款可开展保理。供应链金融：围绕钢材采购与舾装件订单设计融资。设备融资租赁：切割/卷板/吊装设备可售后回租。山东投资可结合威海船舶集群配套，以供应链金融与设备租赁切入，关注新设爬坡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新船海工是威海船舶集群金属结构与舾装配套商，实缴9000万、资质齐全、关联企业年销售1.5亿。建议：山东投资以供应链金融与设备租赁切入，关注新设爬坡与船舶周期。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数据来源说明：天眼查/水滴信用/企查查工商信息（注册资本9000万、隋文超90%/威海诺航10%、参保64人）；山东新船重工船用钢质舾装件有限公司官网（年销售收入1.5亿元）。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