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威海经济技术开发区船舶及海工装备制造特色产业集群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招商局金陵船舶（威海）有限公司企业分析报告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威海经开区官方报道、经区税务公开信息及企业公开资料整理。注：公开报道显示该企业于2025年更名为"招商局工业集团威海船舶有限公司"，属招商局集团旗下中央企业，财务数据未单独公开披露，以下采用公开报道口径（招商船厂产值目标突破100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招商局金陵船舶（威海）有限公司（2025年更名为招商局工业集团威海船舶有限公司）为招商局集团旗下中央企业，位于威海经开区；具体法定代表人、注册资本以工商登记为准。是威海船舶与海工装备省级特色产业集群"链主"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中央企业管理，纳入招商局工业集团治理与制造体系。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作为招商局布局山东的修造船核心基地，2025年更名整合入招商局工业集团，承担高端船舶与海工制造。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定位为高端船舶与海工装备制造商，主营高端客滚船、特种船、海工装备等。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以高端船舶（客滚船等）与海工装备制造为主。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高端客滚船、特种运输船、海工装备及修理改装。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下游为航运公司、海工运营商，央企品牌与全球客户网络。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采购钢材、船用设备、发动机等，受船用钢材与设备价格影响。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威海经区船舶与海工装备产业园核心企业，优质岸线与船坞资源；经区提出"招商船厂产值突破100亿元"目标。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集团化与全球船东直销。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经区官方提出招商船厂产值目标突破100亿元（"十五五"期间）；具体营收/市占率未单独披露。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公司为招商局集团央企子公司，单体财务数据未单独公开披露。公开口径：经区提出招商船厂产值目标突破100亿元。具体营收、资产负债、现金流未披露，不予编造。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中央企业，执行招商局集团治理与国资监管。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纳入招商局工业集团管理层。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央企内控与航运安全质量体系。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以造船、海工技术与工人为主。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一是央企壁垒：招商局集团品牌、资本与订单。二是技术壁垒：高端客滚船与海工制造能力。三是资源壁垒：威海优质岸线与船坞。四是链主壁垒：带动经区船舶集群配套率提升。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全球造船周期与运价波动；钢材与船用设备价格；交付周期长。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智改数转、黑灯工厂；拓展高附加值船型；强化供应链管理。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债权：船舶建造项目贷、融资租赁（船坞/设备可售后回租）。供应链金融：围绕船东预付款与钢材采购开展保理与存货质押。山东投资可结合央企协同，以债权与供应链金融参与招商船厂百亿产值建设，关注造船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招商金陵（威海，2025年更名招商局工业集团威海船舶）是招商局央企链主，产值目标破百亿，技术/资源突出。建议：山东投资以船舶项目融资与供应链金融协同，关注全球造船周期。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数据来源说明：威海经开区官方报道《经区：亿元项目撑起产业转型"四梁八柱"》；经区税务公开信息；企业公开资料（2025年更名）。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