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宁阳县高端化工特色产业集群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山东亚荣化学股份有限公司企业分析报告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企查查、山东亚荣化学官网（tayrsw.com）等公开渠道，统计时点截至最新可查披露信息。注：公司曾用名"泰安亚荣生物科技有限公司"，于2023年7月31日整体变更为股份有限公司。该公司为非上市企业（Pre-IPO阶段），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亚荣化学股份有限公司（曾用名：泰安亚荣生物科技有限公司）统一社会信用代码为91370921MA3D5TBA29，成立于2017年1月24日，法定代表人为李永。公司注册资本8,150万元（已实缴），企业类型为其他股份有限公司（非上市）。注册地址位于山东省泰安市宁阳经济开发区化工产业园石崮河大街东首路南。</w:t>
      </w:r>
    </w:p>
    <w:p>
      <w:pPr>
        <w:spacing w:lineRule="exact" w:line="600" w:before="0" w:after="0"/>
        <w:ind w:firstLine="420"/>
        <w:jc w:val="both"/>
      </w:pPr>
      <w:r>
        <w:rPr>
          <w:rFonts w:ascii="仿宋_GB2312" w:hAnsi="仿宋_GB2312" w:eastAsia="仿宋_GB2312"/>
          <w:b w:val="0"/>
          <w:color w:val="000000"/>
          <w:sz w:val="32"/>
        </w:rPr>
        <w:t>股权结构方面，公司为民营企业、私人绝对控股，处于Pre-IPO融资阶段。公司参保人数约361人，员工260—360余人，属小微企业。公司是国家高新技术企业、山东省"专精特新"中小企业、泰安民营企业50强，是宁阳县高端化工特色产业集群中磷化工与含磷阻燃剂领域的代表企业。</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项目</w:t>
            </w:r>
          </w:p>
        </w:tc>
        <w:tc>
          <w:tcPr>
            <w:tcW w:type="dxa" w:w="6236"/>
          </w:tcPr>
          <w:p>
            <w:pPr>
              <w:spacing w:lineRule="exact" w:line="600"/>
              <w:jc w:val="center"/>
            </w:pPr>
            <w:r/>
            <w:r>
              <w:rPr>
                <w:rFonts w:ascii="黑体" w:hAnsi="黑体" w:eastAsia="黑体"/>
                <w:b/>
                <w:color w:val="000000"/>
                <w:sz w:val="32"/>
              </w:rPr>
              <w:t>内容</w:t>
            </w:r>
          </w:p>
        </w:tc>
      </w:tr>
      <w:tr>
        <w:tc>
          <w:tcPr>
            <w:tcW w:type="dxa" w:w="2835"/>
          </w:tcPr>
          <w:p>
            <w:pPr>
              <w:spacing w:lineRule="exact" w:line="600"/>
              <w:jc w:val="center"/>
            </w:pPr>
            <w:r/>
            <w:r>
              <w:rPr>
                <w:rFonts w:ascii="仿宋_GB2312" w:hAnsi="仿宋_GB2312" w:eastAsia="仿宋_GB2312"/>
                <w:b w:val="0"/>
                <w:color w:val="000000"/>
                <w:sz w:val="32"/>
              </w:rPr>
              <w:t>统一社会信用代码</w:t>
            </w:r>
          </w:p>
        </w:tc>
        <w:tc>
          <w:tcPr>
            <w:tcW w:type="dxa" w:w="6236"/>
          </w:tcPr>
          <w:p>
            <w:pPr>
              <w:spacing w:lineRule="exact" w:line="600"/>
              <w:jc w:val="center"/>
            </w:pPr>
            <w:r/>
            <w:r>
              <w:rPr>
                <w:rFonts w:ascii="仿宋_GB2312" w:hAnsi="仿宋_GB2312" w:eastAsia="仿宋_GB2312"/>
                <w:b w:val="0"/>
                <w:color w:val="000000"/>
                <w:sz w:val="32"/>
              </w:rPr>
              <w:t>91370921MA3D5TBA29</w:t>
            </w:r>
          </w:p>
        </w:tc>
      </w:tr>
      <w:tr>
        <w:tc>
          <w:tcPr>
            <w:tcW w:type="dxa" w:w="2835"/>
          </w:tcPr>
          <w:p>
            <w:pPr>
              <w:spacing w:lineRule="exact" w:line="600"/>
              <w:jc w:val="center"/>
            </w:pPr>
            <w:r/>
            <w:r>
              <w:rPr>
                <w:rFonts w:ascii="仿宋_GB2312" w:hAnsi="仿宋_GB2312" w:eastAsia="仿宋_GB2312"/>
                <w:b w:val="0"/>
                <w:color w:val="000000"/>
                <w:sz w:val="32"/>
              </w:rPr>
              <w:t>成立日期</w:t>
            </w:r>
          </w:p>
        </w:tc>
        <w:tc>
          <w:tcPr>
            <w:tcW w:type="dxa" w:w="6236"/>
          </w:tcPr>
          <w:p>
            <w:pPr>
              <w:spacing w:lineRule="exact" w:line="600"/>
              <w:jc w:val="center"/>
            </w:pPr>
            <w:r/>
            <w:r>
              <w:rPr>
                <w:rFonts w:ascii="仿宋_GB2312" w:hAnsi="仿宋_GB2312" w:eastAsia="仿宋_GB2312"/>
                <w:b w:val="0"/>
                <w:color w:val="000000"/>
                <w:sz w:val="32"/>
              </w:rPr>
              <w:t>2017年1月24日</w:t>
            </w:r>
          </w:p>
        </w:tc>
      </w:tr>
      <w:tr>
        <w:tc>
          <w:tcPr>
            <w:tcW w:type="dxa" w:w="2835"/>
          </w:tcPr>
          <w:p>
            <w:pPr>
              <w:spacing w:lineRule="exact" w:line="600"/>
              <w:jc w:val="center"/>
            </w:pPr>
            <w:r/>
            <w:r>
              <w:rPr>
                <w:rFonts w:ascii="仿宋_GB2312" w:hAnsi="仿宋_GB2312" w:eastAsia="仿宋_GB2312"/>
                <w:b w:val="0"/>
                <w:color w:val="000000"/>
                <w:sz w:val="32"/>
              </w:rPr>
              <w:t>法定代表人</w:t>
            </w:r>
          </w:p>
        </w:tc>
        <w:tc>
          <w:tcPr>
            <w:tcW w:type="dxa" w:w="6236"/>
          </w:tcPr>
          <w:p>
            <w:pPr>
              <w:spacing w:lineRule="exact" w:line="600"/>
              <w:jc w:val="center"/>
            </w:pPr>
            <w:r/>
            <w:r>
              <w:rPr>
                <w:rFonts w:ascii="仿宋_GB2312" w:hAnsi="仿宋_GB2312" w:eastAsia="仿宋_GB2312"/>
                <w:b w:val="0"/>
                <w:color w:val="000000"/>
                <w:sz w:val="32"/>
              </w:rPr>
              <w:t>李永</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8,150万元（已实缴）</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其他股份有限公司（非上市）</w:t>
            </w:r>
          </w:p>
        </w:tc>
      </w:tr>
      <w:tr>
        <w:tc>
          <w:tcPr>
            <w:tcW w:type="dxa" w:w="2835"/>
          </w:tcPr>
          <w:p>
            <w:pPr>
              <w:spacing w:lineRule="exact" w:line="600"/>
              <w:jc w:val="center"/>
            </w:pPr>
            <w:r/>
            <w:r>
              <w:rPr>
                <w:rFonts w:ascii="仿宋_GB2312" w:hAnsi="仿宋_GB2312" w:eastAsia="仿宋_GB2312"/>
                <w:b w:val="0"/>
                <w:color w:val="000000"/>
                <w:sz w:val="32"/>
              </w:rPr>
              <w:t>控股性质</w:t>
            </w:r>
          </w:p>
        </w:tc>
        <w:tc>
          <w:tcPr>
            <w:tcW w:type="dxa" w:w="6236"/>
          </w:tcPr>
          <w:p>
            <w:pPr>
              <w:spacing w:lineRule="exact" w:line="600"/>
              <w:jc w:val="center"/>
            </w:pPr>
            <w:r/>
            <w:r>
              <w:rPr>
                <w:rFonts w:ascii="仿宋_GB2312" w:hAnsi="仿宋_GB2312" w:eastAsia="仿宋_GB2312"/>
                <w:b w:val="0"/>
                <w:color w:val="000000"/>
                <w:sz w:val="32"/>
              </w:rPr>
              <w:t>民营企业、私人绝对控股（Pre-IPO）</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约361人</w:t>
            </w:r>
          </w:p>
        </w:tc>
      </w:tr>
      <w:tr>
        <w:tc>
          <w:tcPr>
            <w:tcW w:type="dxa" w:w="2835"/>
          </w:tcPr>
          <w:p>
            <w:pPr>
              <w:spacing w:lineRule="exact" w:line="600"/>
              <w:jc w:val="center"/>
            </w:pPr>
            <w:r/>
            <w:r>
              <w:rPr>
                <w:rFonts w:ascii="仿宋_GB2312" w:hAnsi="仿宋_GB2312" w:eastAsia="仿宋_GB2312"/>
                <w:b w:val="0"/>
                <w:color w:val="000000"/>
                <w:sz w:val="32"/>
              </w:rPr>
              <w:t>登记状态</w:t>
            </w:r>
          </w:p>
        </w:tc>
        <w:tc>
          <w:tcPr>
            <w:tcW w:type="dxa" w:w="6236"/>
          </w:tcPr>
          <w:p>
            <w:pPr>
              <w:spacing w:lineRule="exact" w:line="600"/>
              <w:jc w:val="center"/>
            </w:pPr>
            <w:r/>
            <w:r>
              <w:rPr>
                <w:rFonts w:ascii="仿宋_GB2312" w:hAnsi="仿宋_GB2312" w:eastAsia="仿宋_GB2312"/>
                <w:b w:val="0"/>
                <w:color w:val="000000"/>
                <w:sz w:val="32"/>
              </w:rPr>
              <w:t>存续</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公司围绕有机磷系阻燃剂及磷化工主业，形成"三氯化磷、三氯氧磷—磷系阻燃剂（TCPP/TCEP/TEP）—五氯化磷"的一体化产品体系，并规划建设亚荣新材料产业园，向高端磷系阻燃剂、氢氧化钾等延伸。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泰安亚荣生物科技有限公司，成立于2017年1月；2023年7月31日完成股份制改造，更名为山东亚荣化学股份有限公司，迈出上市关键一步。公司通过ISO9001质量体系、ISO14001环境体系认证，获山东省"专精特新"中小企业、泰安民营企业50强等荣誉，正推进Pre-IPO。</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公司战略定位为"有机磷系阻燃剂研发、生产与销售商"，主营业务为三氯化磷、三氯氧磷、五氯化磷等基础磷化工产品及TCPP、TCEP、TEP等磷系阻燃剂的研发、生产与销售。</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公司业务收入以磷系阻燃剂（TCPP、TCEP、TEP）及基础磷化工中间体（三氯化磷、三氯氧磷、五氯化磷）为主，出口占比高，产品销往欧洲、美国、加拿大、澳洲等地。</w:t>
      </w:r>
    </w:p>
    <w:p>
      <w:pPr>
        <w:spacing w:lineRule="exact" w:line="600" w:before="120" w:after="120"/>
        <w:ind w:firstLine="420"/>
        <w:jc w:val="left"/>
      </w:pPr>
      <w:r>
        <w:rPr>
          <w:rFonts w:ascii="楷体_GB2312" w:hAnsi="楷体_GB2312" w:eastAsia="楷体_GB2312"/>
          <w:b w:val="0"/>
          <w:color w:val="000000"/>
          <w:sz w:val="32"/>
        </w:rPr>
        <w:t>（二）主要产品</w:t>
      </w:r>
    </w:p>
    <w:p>
      <w:pPr>
        <w:spacing w:lineRule="exact" w:line="600" w:before="0" w:after="0"/>
        <w:ind w:firstLine="420"/>
        <w:jc w:val="both"/>
      </w:pPr>
      <w:r>
        <w:rPr>
          <w:rFonts w:ascii="仿宋_GB2312" w:hAnsi="仿宋_GB2312" w:eastAsia="仿宋_GB2312"/>
          <w:b w:val="0"/>
          <w:color w:val="000000"/>
          <w:sz w:val="32"/>
        </w:rPr>
        <w:t>主要产品包括三氯化磷、三氯氧磷、五氯化磷等基础磷化工产品，以及TCPP、TCEP、TEP等有机磷系阻燃剂。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公司客户以海外阻燃剂经销商与下游塑料、建材、电子材料企业为主，产品销往欧洲、美国、加拿大、澳洲等；国内客户覆盖塑料、聚氨酯、电子等阻燃需求行业。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上游为黄磷、液氯等基础化工原料供应商，原料价格波动影响成本；公司通过工艺优化与副产物精制（如1,2-二氯乙烷、1,2-二氯丙烷）提升资源利用率。</w:t>
      </w:r>
    </w:p>
    <w:p>
      <w:pPr>
        <w:spacing w:lineRule="exact" w:line="600" w:before="120" w:after="120"/>
        <w:ind w:firstLine="420"/>
        <w:jc w:val="left"/>
      </w:pPr>
      <w:r>
        <w:rPr>
          <w:rFonts w:ascii="楷体_GB2312" w:hAnsi="楷体_GB2312" w:eastAsia="楷体_GB2312"/>
          <w:b w:val="0"/>
          <w:color w:val="000000"/>
          <w:sz w:val="32"/>
        </w:rPr>
        <w:t>（五）产能与资源</w:t>
      </w:r>
    </w:p>
    <w:p>
      <w:pPr>
        <w:spacing w:lineRule="exact" w:line="600" w:before="0" w:after="0"/>
        <w:ind w:firstLine="420"/>
        <w:jc w:val="both"/>
      </w:pPr>
      <w:r>
        <w:rPr>
          <w:rFonts w:ascii="仿宋_GB2312" w:hAnsi="仿宋_GB2312" w:eastAsia="仿宋_GB2312"/>
          <w:b w:val="0"/>
          <w:color w:val="000000"/>
          <w:sz w:val="32"/>
        </w:rPr>
        <w:t>公司现有产能：三氯化磷15万吨/年、三氯氧磷12万吨/年、TCPP 12万吨/年、TCEP 6万吨/年、TEP 3万吨/年、五氯化磷10万吨/年。TCPP、TCEP、TEP全球市场份额位居前三，三氯氧磷全国市场份额前三，含磷阻燃剂产能居世界领先水平。公司占地约255—393亩，正在规划建设占地1,190亩的亚荣新材料产业园（分五期），主要覆盖19万吨/年高端磷系阻燃剂、15万吨/年氢氧化钾等项目。</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公司坚持"以市场为原则、以客户为中心"，在巩固国内基础上大力开拓外贸市场，产品出口欧美澳加，国际化布局成效显著。</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公司在磷系阻燃剂细分领域全球市场份额领先（TCPP、TCEP、TEP全球前三），三氯氧磷全国前三，是宁阳高端化工集群的"隐形冠军"型企业，市场地位突出。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w:t>
      </w:r>
    </w:p>
    <w:p>
      <w:pPr>
        <w:spacing w:lineRule="exact" w:line="600" w:before="0" w:after="0"/>
        <w:ind w:firstLine="420"/>
        <w:jc w:val="both"/>
      </w:pPr>
      <w:r>
        <w:rPr>
          <w:rFonts w:ascii="仿宋_GB2312" w:hAnsi="仿宋_GB2312" w:eastAsia="仿宋_GB2312"/>
          <w:b w:val="0"/>
          <w:color w:val="000000"/>
          <w:sz w:val="32"/>
        </w:rPr>
        <w:t>山东亚荣化学股份有限公司为非上市企业（Pre-IPO阶段），未公开披露经审计的年度财务报告，下列仅列示公开渠道可获取的资本与产能信息，完整的资产负债表、利润表、现金流量表数据无法公开获取，特此说明，不对未披露财务数据作估计或推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402"/>
          </w:tcPr>
          <w:p>
            <w:pPr>
              <w:spacing w:lineRule="exact" w:line="600"/>
              <w:jc w:val="center"/>
            </w:pPr>
            <w:r/>
            <w:r>
              <w:rPr>
                <w:rFonts w:ascii="黑体" w:hAnsi="黑体" w:eastAsia="黑体"/>
                <w:b/>
                <w:color w:val="000000"/>
                <w:sz w:val="32"/>
              </w:rPr>
              <w:t>公开可获取数据</w:t>
            </w:r>
          </w:p>
        </w:tc>
        <w:tc>
          <w:tcPr>
            <w:tcW w:type="dxa" w:w="2835"/>
          </w:tcPr>
          <w:p>
            <w:pPr>
              <w:spacing w:lineRule="exact" w:line="600"/>
              <w:jc w:val="center"/>
            </w:pPr>
            <w:r/>
            <w:r>
              <w:rPr>
                <w:rFonts w:ascii="黑体" w:hAnsi="黑体" w:eastAsia="黑体"/>
                <w:b/>
                <w:color w:val="000000"/>
                <w:sz w:val="32"/>
              </w:rPr>
              <w:t>来源/说明</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3402"/>
          </w:tcPr>
          <w:p>
            <w:pPr>
              <w:spacing w:lineRule="exact" w:line="600"/>
              <w:jc w:val="center"/>
            </w:pPr>
            <w:r/>
            <w:r>
              <w:rPr>
                <w:rFonts w:ascii="仿宋_GB2312" w:hAnsi="仿宋_GB2312" w:eastAsia="仿宋_GB2312"/>
                <w:b w:val="0"/>
                <w:color w:val="000000"/>
                <w:sz w:val="32"/>
              </w:rPr>
              <w:t>8,150万元（已实缴）</w:t>
            </w:r>
          </w:p>
        </w:tc>
        <w:tc>
          <w:tcPr>
            <w:tcW w:type="dxa" w:w="2835"/>
          </w:tcPr>
          <w:p>
            <w:pPr>
              <w:spacing w:lineRule="exact" w:line="600"/>
              <w:jc w:val="center"/>
            </w:pPr>
            <w:r/>
            <w:r>
              <w:rPr>
                <w:rFonts w:ascii="仿宋_GB2312" w:hAnsi="仿宋_GB2312" w:eastAsia="仿宋_GB2312"/>
                <w:b w:val="0"/>
                <w:color w:val="000000"/>
                <w:sz w:val="32"/>
              </w:rPr>
              <w:t>工商登记</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3402"/>
          </w:tcPr>
          <w:p>
            <w:pPr>
              <w:spacing w:lineRule="exact" w:line="600"/>
              <w:jc w:val="center"/>
            </w:pPr>
            <w:r/>
            <w:r>
              <w:rPr>
                <w:rFonts w:ascii="仿宋_GB2312" w:hAnsi="仿宋_GB2312" w:eastAsia="仿宋_GB2312"/>
                <w:b w:val="0"/>
                <w:color w:val="000000"/>
                <w:sz w:val="32"/>
              </w:rPr>
              <w:t>约361人</w:t>
            </w:r>
          </w:p>
        </w:tc>
        <w:tc>
          <w:tcPr>
            <w:tcW w:type="dxa" w:w="2835"/>
          </w:tcPr>
          <w:p>
            <w:pPr>
              <w:spacing w:lineRule="exact" w:line="600"/>
              <w:jc w:val="center"/>
            </w:pPr>
            <w:r/>
            <w:r>
              <w:rPr>
                <w:rFonts w:ascii="仿宋_GB2312" w:hAnsi="仿宋_GB2312" w:eastAsia="仿宋_GB2312"/>
                <w:b w:val="0"/>
                <w:color w:val="000000"/>
                <w:sz w:val="32"/>
              </w:rPr>
              <w:t>工商/年报</w:t>
            </w:r>
          </w:p>
        </w:tc>
      </w:tr>
      <w:tr>
        <w:tc>
          <w:tcPr>
            <w:tcW w:type="dxa" w:w="2835"/>
          </w:tcPr>
          <w:p>
            <w:pPr>
              <w:spacing w:lineRule="exact" w:line="600"/>
              <w:jc w:val="center"/>
            </w:pPr>
            <w:r/>
            <w:r>
              <w:rPr>
                <w:rFonts w:ascii="仿宋_GB2312" w:hAnsi="仿宋_GB2312" w:eastAsia="仿宋_GB2312"/>
                <w:b w:val="0"/>
                <w:color w:val="000000"/>
                <w:sz w:val="32"/>
              </w:rPr>
              <w:t>现有产能</w:t>
            </w:r>
          </w:p>
        </w:tc>
        <w:tc>
          <w:tcPr>
            <w:tcW w:type="dxa" w:w="3402"/>
          </w:tcPr>
          <w:p>
            <w:pPr>
              <w:spacing w:lineRule="exact" w:line="600"/>
              <w:jc w:val="center"/>
            </w:pPr>
            <w:r/>
            <w:r>
              <w:rPr>
                <w:rFonts w:ascii="仿宋_GB2312" w:hAnsi="仿宋_GB2312" w:eastAsia="仿宋_GB2312"/>
                <w:b w:val="0"/>
                <w:color w:val="000000"/>
                <w:sz w:val="32"/>
              </w:rPr>
              <w:t>TCPP 12万吨/年等（详见业务章）</w:t>
            </w:r>
          </w:p>
        </w:tc>
        <w:tc>
          <w:tcPr>
            <w:tcW w:type="dxa" w:w="2835"/>
          </w:tcPr>
          <w:p>
            <w:pPr>
              <w:spacing w:lineRule="exact" w:line="600"/>
              <w:jc w:val="center"/>
            </w:pPr>
            <w:r/>
            <w:r>
              <w:rPr>
                <w:rFonts w:ascii="仿宋_GB2312" w:hAnsi="仿宋_GB2312" w:eastAsia="仿宋_GB2312"/>
                <w:b w:val="0"/>
                <w:color w:val="000000"/>
                <w:sz w:val="32"/>
              </w:rPr>
              <w:t>公司官网</w:t>
            </w:r>
          </w:p>
        </w:tc>
      </w:tr>
      <w:tr>
        <w:tc>
          <w:tcPr>
            <w:tcW w:type="dxa" w:w="2835"/>
          </w:tcPr>
          <w:p>
            <w:pPr>
              <w:spacing w:lineRule="exact" w:line="600"/>
              <w:jc w:val="center"/>
            </w:pPr>
            <w:r/>
            <w:r>
              <w:rPr>
                <w:rFonts w:ascii="仿宋_GB2312" w:hAnsi="仿宋_GB2312" w:eastAsia="仿宋_GB2312"/>
                <w:b w:val="0"/>
                <w:color w:val="000000"/>
                <w:sz w:val="32"/>
              </w:rPr>
              <w:t>资产负债率等</w:t>
            </w:r>
          </w:p>
        </w:tc>
        <w:tc>
          <w:tcPr>
            <w:tcW w:type="dxa" w:w="3402"/>
          </w:tcPr>
          <w:p>
            <w:pPr>
              <w:spacing w:lineRule="exact" w:line="600"/>
              <w:jc w:val="center"/>
            </w:pPr>
            <w:r/>
            <w:r>
              <w:rPr>
                <w:rFonts w:ascii="仿宋_GB2312" w:hAnsi="仿宋_GB2312" w:eastAsia="仿宋_GB2312"/>
                <w:b w:val="0"/>
                <w:color w:val="000000"/>
                <w:sz w:val="32"/>
              </w:rPr>
              <w:t>未公开披露</w:t>
            </w:r>
          </w:p>
        </w:tc>
        <w:tc>
          <w:tcPr>
            <w:tcW w:type="dxa" w:w="2835"/>
          </w:tcPr>
          <w:p>
            <w:pPr>
              <w:spacing w:lineRule="exact" w:line="600"/>
              <w:jc w:val="center"/>
            </w:pPr>
            <w:r/>
            <w:r>
              <w:rPr>
                <w:rFonts w:ascii="仿宋_GB2312" w:hAnsi="仿宋_GB2312" w:eastAsia="仿宋_GB2312"/>
                <w:b w:val="0"/>
                <w:color w:val="000000"/>
                <w:sz w:val="32"/>
              </w:rPr>
              <w:t>财务数据未公开披露</w:t>
            </w:r>
          </w:p>
        </w:tc>
      </w:tr>
    </w:tbl>
    <w:p>
      <w:pPr>
        <w:spacing w:lineRule="exact" w:line="600" w:before="120" w:after="120"/>
        <w:ind w:firstLine="420"/>
        <w:jc w:val="left"/>
      </w:pPr>
      <w:r>
        <w:rPr>
          <w:rFonts w:ascii="楷体_GB2312" w:hAnsi="楷体_GB2312" w:eastAsia="楷体_GB2312"/>
          <w:b w:val="0"/>
          <w:color w:val="000000"/>
          <w:sz w:val="32"/>
        </w:rPr>
        <w:t>（二）盈利与资产质量</w:t>
      </w:r>
    </w:p>
    <w:p>
      <w:pPr>
        <w:spacing w:lineRule="exact" w:line="600" w:before="0" w:after="0"/>
        <w:ind w:firstLine="420"/>
        <w:jc w:val="both"/>
      </w:pPr>
      <w:r>
        <w:rPr>
          <w:rFonts w:ascii="仿宋_GB2312" w:hAnsi="仿宋_GB2312" w:eastAsia="仿宋_GB2312"/>
          <w:b w:val="0"/>
          <w:color w:val="000000"/>
          <w:sz w:val="32"/>
        </w:rPr>
        <w:t>公司财务数据未公开披露。作为磷系阻燃剂全球领先企业，受益于出口与细分市场地位，具备一定盈利基础，但受黄磷、液氯原料价格及出口贸易政策影响。</w:t>
      </w:r>
    </w:p>
    <w:p>
      <w:pPr>
        <w:spacing w:lineRule="exact" w:line="600" w:before="120" w:after="120"/>
        <w:ind w:firstLine="420"/>
        <w:jc w:val="left"/>
      </w:pPr>
      <w:r>
        <w:rPr>
          <w:rFonts w:ascii="楷体_GB2312" w:hAnsi="楷体_GB2312" w:eastAsia="楷体_GB2312"/>
          <w:b w:val="0"/>
          <w:color w:val="000000"/>
          <w:sz w:val="32"/>
        </w:rPr>
        <w:t>（三）负债与偿债</w:t>
      </w:r>
    </w:p>
    <w:p>
      <w:pPr>
        <w:spacing w:lineRule="exact" w:line="600" w:before="0" w:after="0"/>
        <w:ind w:firstLine="420"/>
        <w:jc w:val="both"/>
      </w:pPr>
      <w:r>
        <w:rPr>
          <w:rFonts w:ascii="仿宋_GB2312" w:hAnsi="仿宋_GB2312" w:eastAsia="仿宋_GB2312"/>
          <w:b w:val="0"/>
          <w:color w:val="000000"/>
          <w:sz w:val="32"/>
        </w:rPr>
        <w:t>公司财务数据未公开披露，资产负债率、有息负债等关键偿债指标无法获取。</w:t>
      </w:r>
    </w:p>
    <w:p>
      <w:pPr>
        <w:spacing w:lineRule="exact" w:line="600" w:before="120" w:after="120"/>
        <w:ind w:firstLine="420"/>
        <w:jc w:val="left"/>
      </w:pPr>
      <w:r>
        <w:rPr>
          <w:rFonts w:ascii="楷体_GB2312" w:hAnsi="楷体_GB2312" w:eastAsia="楷体_GB2312"/>
          <w:b w:val="0"/>
          <w:color w:val="000000"/>
          <w:sz w:val="32"/>
        </w:rPr>
        <w:t>（四）关键指标对标</w:t>
      </w:r>
    </w:p>
    <w:p>
      <w:pPr>
        <w:spacing w:lineRule="exact" w:line="600" w:before="0" w:after="0"/>
        <w:ind w:firstLine="420"/>
        <w:jc w:val="both"/>
      </w:pPr>
      <w:r>
        <w:rPr>
          <w:rFonts w:ascii="仿宋_GB2312" w:hAnsi="仿宋_GB2312" w:eastAsia="仿宋_GB2312"/>
          <w:b w:val="0"/>
          <w:color w:val="000000"/>
          <w:sz w:val="32"/>
        </w:rPr>
        <w:t>在磷系阻燃剂领域，公司可比企业包括雅克科技、万盛股份等上市公司，但财务口径不可直接对标；公司在TCPP/TCEP/TEP全球份额领先，具差异化优势。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公司为其他股份有限公司（非上市），已完成股份制改造，设股东大会、董事会、监事会及经营管理层，正按上市公司规范完善治理，为Pre-IPO做准备。</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公司核心管理层具有磷化工与阻燃剂行业经验，法定代表人李永主导经营决策。</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作为危化品生产、经营、仓储企业，公司完成安全标准化、双体系与三体系建设，严格执行危化品生产、仓储合规要求。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公司员工260—360余人，参保约361人，研发与外贸人才需求旺盛（招聘研发工程师、外贸业务员等），是当地化工人才聚集企业。</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0" w:after="0"/>
        <w:ind w:firstLine="420"/>
        <w:jc w:val="both"/>
      </w:pPr>
      <w:r>
        <w:rPr>
          <w:rFonts w:ascii="仿宋_GB2312" w:hAnsi="仿宋_GB2312" w:eastAsia="仿宋_GB2312"/>
          <w:b w:val="0"/>
          <w:color w:val="000000"/>
          <w:sz w:val="32"/>
        </w:rPr>
        <w:t>一是全球市场份额壁垒：TCPP、TCEP、TEP全球市场份额前三，含磷阻燃剂产能世界领先，规模与成本优势显著。二是产业链一体化壁垒：自产三氯化磷、三氯氧磷、五氯化磷等中间体，保障阻燃剂原料供应与成本可控。三是技术与工艺壁垒：副产物精制（1,2-二氯乙烷、1,2-二氯丙烷）提升资源利用率，通过质量与环境体系认证。四是出口渠道壁垒：产品远销欧美澳加，国际化客户与渠道基础扎实。五是资质壁垒：国家高新技术企业、山东省专精特新中小企业、泰安民营企业50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（一）行业与原料风险</w:t>
      </w:r>
    </w:p>
    <w:p>
      <w:pPr>
        <w:spacing w:lineRule="exact" w:line="600" w:before="0" w:after="0"/>
        <w:ind w:firstLine="420"/>
        <w:jc w:val="both"/>
      </w:pPr>
      <w:r>
        <w:rPr>
          <w:rFonts w:ascii="仿宋_GB2312" w:hAnsi="仿宋_GB2312" w:eastAsia="仿宋_GB2312"/>
          <w:b w:val="0"/>
          <w:color w:val="000000"/>
          <w:sz w:val="32"/>
        </w:rPr>
        <w:t>阻燃剂行业受下游塑料、建材、电子需求影响；黄磷、液氯等原料价格波动及环保限产将影响成本与供应。</w:t>
      </w:r>
    </w:p>
    <w:p>
      <w:pPr>
        <w:spacing w:lineRule="exact" w:line="600" w:before="120" w:after="120"/>
        <w:ind w:firstLine="420"/>
        <w:jc w:val="left"/>
      </w:pPr>
      <w:r>
        <w:rPr>
          <w:rFonts w:ascii="楷体_GB2312" w:hAnsi="楷体_GB2312" w:eastAsia="楷体_GB2312"/>
          <w:b w:val="0"/>
          <w:color w:val="000000"/>
          <w:sz w:val="32"/>
        </w:rPr>
        <w:t>（二）贸易与政策风险</w:t>
      </w:r>
    </w:p>
    <w:p>
      <w:pPr>
        <w:spacing w:lineRule="exact" w:line="600" w:before="0" w:after="0"/>
        <w:ind w:firstLine="420"/>
        <w:jc w:val="both"/>
      </w:pPr>
      <w:r>
        <w:rPr>
          <w:rFonts w:ascii="仿宋_GB2312" w:hAnsi="仿宋_GB2312" w:eastAsia="仿宋_GB2312"/>
          <w:b w:val="0"/>
          <w:color w:val="000000"/>
          <w:sz w:val="32"/>
        </w:rPr>
        <w:t>公司出口占比高，欧美等市场贸易政策、关税及阻燃剂法规（如环保限制）变化将影响出口；危化品生产受安全环保强监管。</w:t>
      </w:r>
    </w:p>
    <w:p>
      <w:pPr>
        <w:spacing w:lineRule="exact" w:line="600" w:before="120" w:after="120"/>
        <w:ind w:firstLine="420"/>
        <w:jc w:val="left"/>
      </w:pPr>
      <w:r>
        <w:rPr>
          <w:rFonts w:ascii="楷体_GB2312" w:hAnsi="楷体_GB2312" w:eastAsia="楷体_GB2312"/>
          <w:b w:val="0"/>
          <w:color w:val="000000"/>
          <w:sz w:val="32"/>
        </w:rPr>
        <w:t>（三）财务与扩张风险</w:t>
      </w:r>
    </w:p>
    <w:p>
      <w:pPr>
        <w:spacing w:lineRule="exact" w:line="600" w:before="0" w:after="0"/>
        <w:ind w:firstLine="420"/>
        <w:jc w:val="both"/>
      </w:pPr>
      <w:r>
        <w:rPr>
          <w:rFonts w:ascii="仿宋_GB2312" w:hAnsi="仿宋_GB2312" w:eastAsia="仿宋_GB2312"/>
          <w:b w:val="0"/>
          <w:color w:val="000000"/>
          <w:sz w:val="32"/>
        </w:rPr>
        <w:t>公司财务未公开披露，外部难以评估真实偿债；亚荣新材料产业园（1,190亩、五期）投资规模大，存在资金与执行风险。</w:t>
      </w:r>
    </w:p>
    <w:p>
      <w:pPr>
        <w:spacing w:lineRule="exact" w:line="600" w:before="120" w:after="120"/>
        <w:ind w:firstLine="420"/>
        <w:jc w:val="left"/>
      </w:pPr>
      <w:r>
        <w:rPr>
          <w:rFonts w:ascii="楷体_GB2312" w:hAnsi="楷体_GB2312" w:eastAsia="楷体_GB2312"/>
          <w:b w:val="0"/>
          <w:color w:val="000000"/>
          <w:sz w:val="32"/>
        </w:rPr>
        <w:t>（四）应对措施</w:t>
      </w:r>
    </w:p>
    <w:p>
      <w:pPr>
        <w:spacing w:lineRule="exact" w:line="600" w:before="0" w:after="0"/>
        <w:ind w:firstLine="420"/>
        <w:jc w:val="both"/>
      </w:pPr>
      <w:r>
        <w:rPr>
          <w:rFonts w:ascii="仿宋_GB2312" w:hAnsi="仿宋_GB2312" w:eastAsia="仿宋_GB2312"/>
          <w:b w:val="0"/>
          <w:color w:val="000000"/>
          <w:sz w:val="32"/>
        </w:rPr>
        <w:t>公司通过副产物资源化与工艺优化降本；拓展多区域出口分散贸易风险；推进产业园分期建设平滑投资节奏。</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公司上游为黄磷、液氯供应商，可在原料采购环节通过供应链金融平台提供预付/采购融资，稳定原料供应。</w:t>
      </w:r>
    </w:p>
    <w:p>
      <w:pPr>
        <w:spacing w:lineRule="exact" w:line="600" w:before="120" w:after="120"/>
        <w:ind w:firstLine="420"/>
        <w:jc w:val="left"/>
      </w:pPr>
      <w:r>
        <w:rPr>
          <w:rFonts w:ascii="楷体_GB2312" w:hAnsi="楷体_GB2312" w:eastAsia="楷体_GB2312"/>
          <w:b w:val="0"/>
          <w:color w:val="000000"/>
          <w:sz w:val="32"/>
        </w:rPr>
        <w:t>（二）融资租赁</w:t>
      </w:r>
    </w:p>
    <w:p>
      <w:pPr>
        <w:spacing w:lineRule="exact" w:line="600" w:before="0" w:after="0"/>
        <w:ind w:firstLine="420"/>
        <w:jc w:val="both"/>
      </w:pPr>
      <w:r>
        <w:rPr>
          <w:rFonts w:ascii="仿宋_GB2312" w:hAnsi="仿宋_GB2312" w:eastAsia="仿宋_GB2312"/>
          <w:b w:val="0"/>
          <w:color w:val="000000"/>
          <w:sz w:val="32"/>
        </w:rPr>
        <w:t>亚荣新材料产业园装置建设可通过融资租赁获取设备，缓解资本开支压力。</w:t>
      </w:r>
    </w:p>
    <w:p>
      <w:pPr>
        <w:spacing w:lineRule="exact" w:line="600" w:before="120" w:after="120"/>
        <w:ind w:firstLine="420"/>
        <w:jc w:val="left"/>
      </w:pPr>
      <w:r>
        <w:rPr>
          <w:rFonts w:ascii="楷体_GB2312" w:hAnsi="楷体_GB2312" w:eastAsia="楷体_GB2312"/>
          <w:b w:val="0"/>
          <w:color w:val="000000"/>
          <w:sz w:val="32"/>
        </w:rPr>
        <w:t>（三）保理业务</w:t>
      </w:r>
    </w:p>
    <w:p>
      <w:pPr>
        <w:spacing w:lineRule="exact" w:line="600" w:before="0" w:after="0"/>
        <w:ind w:firstLine="420"/>
        <w:jc w:val="both"/>
      </w:pPr>
      <w:r>
        <w:rPr>
          <w:rFonts w:ascii="仿宋_GB2312" w:hAnsi="仿宋_GB2312" w:eastAsia="仿宋_GB2312"/>
          <w:b w:val="0"/>
          <w:color w:val="000000"/>
          <w:sz w:val="32"/>
        </w:rPr>
        <w:t>公司对海外及国内客户存在应收账款，可开展国内/国际保理业务盘活资金。</w:t>
      </w:r>
    </w:p>
    <w:p>
      <w:pPr>
        <w:spacing w:lineRule="exact" w:line="600" w:before="120" w:after="120"/>
        <w:ind w:firstLine="420"/>
        <w:jc w:val="left"/>
      </w:pPr>
      <w:r>
        <w:rPr>
          <w:rFonts w:ascii="楷体_GB2312" w:hAnsi="楷体_GB2312" w:eastAsia="楷体_GB2312"/>
          <w:b w:val="0"/>
          <w:color w:val="000000"/>
          <w:sz w:val="32"/>
        </w:rPr>
        <w:t>（四）小贷与Pre-IPO支持</w:t>
      </w:r>
    </w:p>
    <w:p>
      <w:pPr>
        <w:spacing w:lineRule="exact" w:line="600" w:before="0" w:after="0"/>
        <w:ind w:firstLine="420"/>
        <w:jc w:val="both"/>
      </w:pPr>
      <w:r>
        <w:rPr>
          <w:rFonts w:ascii="仿宋_GB2312" w:hAnsi="仿宋_GB2312" w:eastAsia="仿宋_GB2312"/>
          <w:b w:val="0"/>
          <w:color w:val="000000"/>
          <w:sz w:val="32"/>
        </w:rPr>
        <w:t>针对扩张与上市前资金需求，可通过小贷、股权融资协同等工具支持，配套应收账款与资产风控；山东投资可关注其Pre-IPO投资机会。</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亚荣化学股份有限公司是宁阳县高端化工产业集群中磷化工与含磷阻燃剂领域的"隐形冠军"，凭借TCPP/TCEP/TEP全球前三的市场份额、一体化磷化工产业链及出口渠道，确立了显著的细分领域领导地位，并已完成股份制改造、处于Pre-IPO阶段。</w:t>
      </w:r>
    </w:p>
    <w:p>
      <w:pPr>
        <w:spacing w:lineRule="exact" w:line="600" w:before="0" w:after="0"/>
        <w:ind w:firstLine="420"/>
        <w:jc w:val="both"/>
      </w:pPr>
      <w:r>
        <w:rPr>
          <w:rFonts w:ascii="仿宋_GB2312" w:hAnsi="仿宋_GB2312" w:eastAsia="仿宋_GB2312"/>
          <w:b w:val="0"/>
          <w:color w:val="000000"/>
          <w:sz w:val="32"/>
        </w:rPr>
        <w:t>发展展望：随着亚荣新材料产业园（19万吨/年高端磷系阻燃剂、15万吨/年氢氧化钾等）分期建成，公司产能与产品矩阵将进一步扩张，国际化与高端化空间广阔。</w:t>
      </w:r>
    </w:p>
    <w:p>
      <w:pPr>
        <w:spacing w:lineRule="exact" w:line="600" w:before="0" w:after="0"/>
        <w:ind w:firstLine="420"/>
        <w:jc w:val="both"/>
      </w:pPr>
      <w:r>
        <w:rPr>
          <w:rFonts w:ascii="仿宋_GB2312" w:hAnsi="仿宋_GB2312" w:eastAsia="仿宋_GB2312"/>
          <w:b w:val="0"/>
          <w:color w:val="000000"/>
          <w:sz w:val="32"/>
        </w:rPr>
        <w:t>建议：一是加快财务规范化与上市进程信息披露；二是借助山东投资供应链金融、融资租赁支持产业园建设，并关注Pre-IPO股权投资机会；三是强化原料价格与贸易风险对冲；四是严守危化品安全环保合规，巩固全球市场份额优势。</w:t>
      </w:r>
    </w:p>
    <w:p>
      <w:pPr>
        <w:spacing w:lineRule="exact" w:line="600" w:before="0" w:after="0"/>
        <w:jc w:val="left"/>
      </w:pPr>
      <w:r>
        <w:rPr>
          <w:rFonts w:ascii="仿宋_GB2312" w:hAnsi="仿宋_GB2312" w:eastAsia="仿宋_GB2312"/>
          <w:b w:val="0"/>
          <w:color w:val="000000"/>
          <w:sz w:val="28"/>
        </w:rPr>
        <w:t>数据来源说明：本报告的工商信息来源于国家企业信用信息公示系统、天眼查/爱企查/企查查；产能与市场数据来源于山东亚荣化学官网（tayrsw.com）及公开资料；财务数据因非上市（Pre-IPO）企业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