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宁阳县高端化工特色产业集群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山东恒信高科能源有限公司企业分析报告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企查查、山东恒信集团官网（sdhengxingroup.com）、恒信高科官网（sdhxgk.cn）等公开渠道，统计时点截至最新可查披露信息。该公司为非上市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恒信高科能源有限公司统一社会信用代码为91370921328482832M，成立于2015年2月10日，法定代表人为王来发。公司注册资本60,000万元（6亿元），企业类型为其他有限责任公司。注册地址位于山东省泰安市宁阳县经济开发区堡头大街666号（宁阳化工产业园内）。</w:t>
      </w:r>
    </w:p>
    <w:p>
      <w:pPr>
        <w:spacing w:lineRule="exact" w:line="600" w:before="0" w:after="0"/>
        <w:ind w:firstLine="420"/>
        <w:jc w:val="both"/>
      </w:pPr>
      <w:r>
        <w:rPr>
          <w:rFonts w:ascii="仿宋_GB2312" w:hAnsi="仿宋_GB2312" w:eastAsia="仿宋_GB2312"/>
          <w:b w:val="0"/>
          <w:color w:val="000000"/>
          <w:sz w:val="32"/>
        </w:rPr>
        <w:t>股权结构方面，公司由山东恒信集团有限公司持股55%、江苏永钢集团有限公司持股45%共同出资设立；据公司官网，成立初期亦曾有新加坡春兴公司（SPRING PROSPER PTE. LTD.）参与出资。山东恒信集团有限公司由司相芳持股85%，为公司的实际控制人。公司参保人数约862人（2025年），现有员工1,100余人，属中型企业，是宁阳县高端化工特色产业集群的链主企业之一。</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项目</w:t>
            </w:r>
          </w:p>
        </w:tc>
        <w:tc>
          <w:tcPr>
            <w:tcW w:type="dxa" w:w="6236"/>
          </w:tcPr>
          <w:p>
            <w:pPr>
              <w:spacing w:lineRule="exact" w:line="600"/>
              <w:jc w:val="center"/>
            </w:pPr>
            <w:r/>
            <w:r>
              <w:rPr>
                <w:rFonts w:ascii="黑体" w:hAnsi="黑体" w:eastAsia="黑体"/>
                <w:b/>
                <w:color w:val="000000"/>
                <w:sz w:val="32"/>
              </w:rPr>
              <w:t>内容</w:t>
            </w:r>
          </w:p>
        </w:tc>
      </w:tr>
      <w:tr>
        <w:tc>
          <w:tcPr>
            <w:tcW w:type="dxa" w:w="2835"/>
          </w:tcPr>
          <w:p>
            <w:pPr>
              <w:spacing w:lineRule="exact" w:line="600"/>
              <w:jc w:val="center"/>
            </w:pPr>
            <w:r/>
            <w:r>
              <w:rPr>
                <w:rFonts w:ascii="仿宋_GB2312" w:hAnsi="仿宋_GB2312" w:eastAsia="仿宋_GB2312"/>
                <w:b w:val="0"/>
                <w:color w:val="000000"/>
                <w:sz w:val="32"/>
              </w:rPr>
              <w:t>统一社会信用代码</w:t>
            </w:r>
          </w:p>
        </w:tc>
        <w:tc>
          <w:tcPr>
            <w:tcW w:type="dxa" w:w="6236"/>
          </w:tcPr>
          <w:p>
            <w:pPr>
              <w:spacing w:lineRule="exact" w:line="600"/>
              <w:jc w:val="center"/>
            </w:pPr>
            <w:r/>
            <w:r>
              <w:rPr>
                <w:rFonts w:ascii="仿宋_GB2312" w:hAnsi="仿宋_GB2312" w:eastAsia="仿宋_GB2312"/>
                <w:b w:val="0"/>
                <w:color w:val="000000"/>
                <w:sz w:val="32"/>
              </w:rPr>
              <w:t>91370921328482832M</w:t>
            </w:r>
          </w:p>
        </w:tc>
      </w:tr>
      <w:tr>
        <w:tc>
          <w:tcPr>
            <w:tcW w:type="dxa" w:w="2835"/>
          </w:tcPr>
          <w:p>
            <w:pPr>
              <w:spacing w:lineRule="exact" w:line="600"/>
              <w:jc w:val="center"/>
            </w:pPr>
            <w:r/>
            <w:r>
              <w:rPr>
                <w:rFonts w:ascii="仿宋_GB2312" w:hAnsi="仿宋_GB2312" w:eastAsia="仿宋_GB2312"/>
                <w:b w:val="0"/>
                <w:color w:val="000000"/>
                <w:sz w:val="32"/>
              </w:rPr>
              <w:t>成立日期</w:t>
            </w:r>
          </w:p>
        </w:tc>
        <w:tc>
          <w:tcPr>
            <w:tcW w:type="dxa" w:w="6236"/>
          </w:tcPr>
          <w:p>
            <w:pPr>
              <w:spacing w:lineRule="exact" w:line="600"/>
              <w:jc w:val="center"/>
            </w:pPr>
            <w:r/>
            <w:r>
              <w:rPr>
                <w:rFonts w:ascii="仿宋_GB2312" w:hAnsi="仿宋_GB2312" w:eastAsia="仿宋_GB2312"/>
                <w:b w:val="0"/>
                <w:color w:val="000000"/>
                <w:sz w:val="32"/>
              </w:rPr>
              <w:t>2015年2月10日</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王来发</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60,000万元（6亿元）</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其他有限责任公司</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山东恒信集团有限公司（55%）</w:t>
            </w:r>
          </w:p>
        </w:tc>
      </w:tr>
      <w:tr>
        <w:tc>
          <w:tcPr>
            <w:tcW w:type="dxa" w:w="2835"/>
          </w:tcPr>
          <w:p>
            <w:pPr>
              <w:spacing w:lineRule="exact" w:line="600"/>
              <w:jc w:val="center"/>
            </w:pPr>
            <w:r/>
            <w:r>
              <w:rPr>
                <w:rFonts w:ascii="仿宋_GB2312" w:hAnsi="仿宋_GB2312" w:eastAsia="仿宋_GB2312"/>
                <w:b w:val="0"/>
                <w:color w:val="000000"/>
                <w:sz w:val="32"/>
              </w:rPr>
              <w:t>其他股东</w:t>
            </w:r>
          </w:p>
        </w:tc>
        <w:tc>
          <w:tcPr>
            <w:tcW w:type="dxa" w:w="6236"/>
          </w:tcPr>
          <w:p>
            <w:pPr>
              <w:spacing w:lineRule="exact" w:line="600"/>
              <w:jc w:val="center"/>
            </w:pPr>
            <w:r/>
            <w:r>
              <w:rPr>
                <w:rFonts w:ascii="仿宋_GB2312" w:hAnsi="仿宋_GB2312" w:eastAsia="仿宋_GB2312"/>
                <w:b w:val="0"/>
                <w:color w:val="000000"/>
                <w:sz w:val="32"/>
              </w:rPr>
              <w:t>江苏永钢集团有限公司（45%）</w:t>
            </w:r>
          </w:p>
        </w:tc>
      </w:tr>
      <w:tr>
        <w:tc>
          <w:tcPr>
            <w:tcW w:type="dxa" w:w="2835"/>
          </w:tcPr>
          <w:p>
            <w:pPr>
              <w:spacing w:lineRule="exact" w:line="600"/>
              <w:jc w:val="center"/>
            </w:pPr>
            <w:r/>
            <w:r>
              <w:rPr>
                <w:rFonts w:ascii="仿宋_GB2312" w:hAnsi="仿宋_GB2312" w:eastAsia="仿宋_GB2312"/>
                <w:b w:val="0"/>
                <w:color w:val="000000"/>
                <w:sz w:val="32"/>
              </w:rPr>
              <w:t>实际控制人</w:t>
            </w:r>
          </w:p>
        </w:tc>
        <w:tc>
          <w:tcPr>
            <w:tcW w:type="dxa" w:w="6236"/>
          </w:tcPr>
          <w:p>
            <w:pPr>
              <w:spacing w:lineRule="exact" w:line="600"/>
              <w:jc w:val="center"/>
            </w:pPr>
            <w:r/>
            <w:r>
              <w:rPr>
                <w:rFonts w:ascii="仿宋_GB2312" w:hAnsi="仿宋_GB2312" w:eastAsia="仿宋_GB2312"/>
                <w:b w:val="0"/>
                <w:color w:val="000000"/>
                <w:sz w:val="32"/>
              </w:rPr>
              <w:t>司相芳（经山东恒信集团）</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约862人（2025年），员工1,100余人</w:t>
            </w:r>
          </w:p>
        </w:tc>
      </w:tr>
      <w:tr>
        <w:tc>
          <w:tcPr>
            <w:tcW w:type="dxa" w:w="2835"/>
          </w:tcPr>
          <w:p>
            <w:pPr>
              <w:spacing w:lineRule="exact" w:line="600"/>
              <w:jc w:val="center"/>
            </w:pPr>
            <w:r/>
            <w:r>
              <w:rPr>
                <w:rFonts w:ascii="仿宋_GB2312" w:hAnsi="仿宋_GB2312" w:eastAsia="仿宋_GB2312"/>
                <w:b w:val="0"/>
                <w:color w:val="000000"/>
                <w:sz w:val="32"/>
              </w:rPr>
              <w:t>登记状态</w:t>
            </w:r>
          </w:p>
        </w:tc>
        <w:tc>
          <w:tcPr>
            <w:tcW w:type="dxa" w:w="6236"/>
          </w:tcPr>
          <w:p>
            <w:pPr>
              <w:spacing w:lineRule="exact" w:line="600"/>
              <w:jc w:val="center"/>
            </w:pPr>
            <w:r/>
            <w:r>
              <w:rPr>
                <w:rFonts w:ascii="仿宋_GB2312" w:hAnsi="仿宋_GB2312" w:eastAsia="仿宋_GB2312"/>
                <w:b w:val="0"/>
                <w:color w:val="000000"/>
                <w:sz w:val="32"/>
              </w:rPr>
              <w:t>存续</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位于宁阳化工产业园，构建了"煤—焦—化—材"循环经济产业体系，业务涵盖炼焦、煤制甲醇、煤化工深加工及焦炉煤气综合利用、新能源（氢能）等板块。依托山东恒信集团的焦化产业退城进园技术升级项目，形成循环经济产业园。</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2015年，是山东恒信集团焦化有限公司退城进园、压煤搬迁技术升级的项目载体，属宁阳县化工产业新旧动能转换重大项目。一期项目总投资36亿元，建成投产并形成年产120万吨焦炭、15万吨甲醇及10万吨高端化工产品的生产规模。二期项目拟投资120亿元，建设精细化工与高端化工产业基地（DMC、聚碳酸酯、氢气岛、焦炉气制乙醇等）。</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集高端化工、大型现代公铁联运内陆港、新能源产业于一体的综合性企业"，主营业务为炼焦、煤制品制造、化工产品（含甲醇等）生产销售、危险化学品生产、热力与电力供应等，并布局"氢气岛"新能源与焦炉煤气高附加值综合利用。</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焦炭、甲醇等基础化工产品为主，并向下游高端化工（苯加氢、焦油加氢、甲醇制乙醇、芳烃、针状焦、碳纤维、氢能源等）延伸。规划中传统能源产值占比将降至约五分之一，高端煤化工产值占比升至约五分之四。</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主要产品包括焦炭、甲醇、粗苯、煤焦油、氢气，以及规划中的DMC（碳酸二甲酯）、聚碳酸酯新材料、乙醇、氢能源等。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公司产品主要供应宁阳化工产业园内关联企业及外部化工、钢铁、冶金客户，甲醇、氢气等作为园区产业链上游原料对外供给，客户以B端工业企业为主。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上游为煤炭（炼焦煤）供应商，焦煤价格波动对公司成本影响显著。公司配套储配煤一体化筒仓保障原料稳定。</w:t>
      </w:r>
    </w:p>
    <w:p>
      <w:pPr>
        <w:spacing w:lineRule="exact" w:line="600" w:before="120" w:after="120"/>
        <w:ind w:firstLine="420"/>
        <w:jc w:val="left"/>
      </w:pPr>
      <w:r>
        <w:rPr>
          <w:rFonts w:ascii="楷体_GB2312" w:hAnsi="楷体_GB2312" w:eastAsia="楷体_GB2312"/>
          <w:b w:val="0"/>
          <w:color w:val="000000"/>
          <w:sz w:val="32"/>
        </w:rPr>
        <w:t>（五）产能与资源</w:t>
      </w:r>
    </w:p>
    <w:p>
      <w:pPr>
        <w:spacing w:lineRule="exact" w:line="600" w:before="0" w:after="0"/>
        <w:ind w:firstLine="420"/>
        <w:jc w:val="both"/>
      </w:pPr>
      <w:r>
        <w:rPr>
          <w:rFonts w:ascii="仿宋_GB2312" w:hAnsi="仿宋_GB2312" w:eastAsia="仿宋_GB2312"/>
          <w:b w:val="0"/>
          <w:color w:val="000000"/>
          <w:sz w:val="32"/>
        </w:rPr>
        <w:t>一期已建成年产120万吨焦炭、15万吨甲醇及10万吨高端化工产品的产能，配套2×60孔大容积捣固焦炉、干熄焦余热发电、煤气净化、焦炉煤气制甲醇等装置，并实现发电量约2.1亿度。二期达产后将新增10万吨/年DMC、10万吨/年聚碳酸酯、5万吨/年氢气、60万吨/年焦炉气制乙醇产能。</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公司采用"园区内循环+对外销售"模式，焦炭、甲醇等对外销售，氢气、一氧化碳等气体及其他中间品优先保障园区下游企业，形成园区协同。</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一期项目总投资36亿元，二期规划投资120亿元，达产后预计可实现销售收入220亿元、利税超50亿元。公司是宁阳化工产业园核心企业，在区域焦化及煤化工领域具有重要地位，并获高新技术企业、专精特新中小企业、企业技术中心、绿色工厂等资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山东恒信高科能源有限公司为非上市企业，未公开披露经审计的年度财务报告，下列仅列示公开渠道可获取的资本与项目投资额信息，完整的资产负债表、利润表、现金流量表数据无法公开获取，特此说明，不对未披露财务数据作估计或推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公开可获取数据</w:t>
            </w:r>
          </w:p>
        </w:tc>
        <w:tc>
          <w:tcPr>
            <w:tcW w:type="dxa" w:w="2835"/>
          </w:tcPr>
          <w:p>
            <w:pPr>
              <w:spacing w:lineRule="exact" w:line="600"/>
              <w:jc w:val="center"/>
            </w:pPr>
            <w:r/>
            <w:r>
              <w:rPr>
                <w:rFonts w:ascii="黑体" w:hAnsi="黑体" w:eastAsia="黑体"/>
                <w:b/>
                <w:color w:val="000000"/>
                <w:sz w:val="32"/>
              </w:rPr>
              <w:t>来源/说明</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3402"/>
          </w:tcPr>
          <w:p>
            <w:pPr>
              <w:spacing w:lineRule="exact" w:line="600"/>
              <w:jc w:val="center"/>
            </w:pPr>
            <w:r/>
            <w:r>
              <w:rPr>
                <w:rFonts w:ascii="仿宋_GB2312" w:hAnsi="仿宋_GB2312" w:eastAsia="仿宋_GB2312"/>
                <w:b w:val="0"/>
                <w:color w:val="000000"/>
                <w:sz w:val="32"/>
              </w:rPr>
              <w:t>60,000万元</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3402"/>
          </w:tcPr>
          <w:p>
            <w:pPr>
              <w:spacing w:lineRule="exact" w:line="600"/>
              <w:jc w:val="center"/>
            </w:pPr>
            <w:r/>
            <w:r>
              <w:rPr>
                <w:rFonts w:ascii="仿宋_GB2312" w:hAnsi="仿宋_GB2312" w:eastAsia="仿宋_GB2312"/>
                <w:b w:val="0"/>
                <w:color w:val="000000"/>
                <w:sz w:val="32"/>
              </w:rPr>
              <w:t>约862人（2025年）</w:t>
            </w:r>
          </w:p>
        </w:tc>
        <w:tc>
          <w:tcPr>
            <w:tcW w:type="dxa" w:w="2835"/>
          </w:tcPr>
          <w:p>
            <w:pPr>
              <w:spacing w:lineRule="exact" w:line="600"/>
              <w:jc w:val="center"/>
            </w:pPr>
            <w:r/>
            <w:r>
              <w:rPr>
                <w:rFonts w:ascii="仿宋_GB2312" w:hAnsi="仿宋_GB2312" w:eastAsia="仿宋_GB2312"/>
                <w:b w:val="0"/>
                <w:color w:val="000000"/>
                <w:sz w:val="32"/>
              </w:rPr>
              <w:t>工商/年报</w:t>
            </w:r>
          </w:p>
        </w:tc>
      </w:tr>
      <w:tr>
        <w:tc>
          <w:tcPr>
            <w:tcW w:type="dxa" w:w="2835"/>
          </w:tcPr>
          <w:p>
            <w:pPr>
              <w:spacing w:lineRule="exact" w:line="600"/>
              <w:jc w:val="center"/>
            </w:pPr>
            <w:r/>
            <w:r>
              <w:rPr>
                <w:rFonts w:ascii="仿宋_GB2312" w:hAnsi="仿宋_GB2312" w:eastAsia="仿宋_GB2312"/>
                <w:b w:val="0"/>
                <w:color w:val="000000"/>
                <w:sz w:val="32"/>
              </w:rPr>
              <w:t>一期项目总投资</w:t>
            </w:r>
          </w:p>
        </w:tc>
        <w:tc>
          <w:tcPr>
            <w:tcW w:type="dxa" w:w="3402"/>
          </w:tcPr>
          <w:p>
            <w:pPr>
              <w:spacing w:lineRule="exact" w:line="600"/>
              <w:jc w:val="center"/>
            </w:pPr>
            <w:r/>
            <w:r>
              <w:rPr>
                <w:rFonts w:ascii="仿宋_GB2312" w:hAnsi="仿宋_GB2312" w:eastAsia="仿宋_GB2312"/>
                <w:b w:val="0"/>
                <w:color w:val="000000"/>
                <w:sz w:val="32"/>
              </w:rPr>
              <w:t>36亿元</w:t>
            </w:r>
          </w:p>
        </w:tc>
        <w:tc>
          <w:tcPr>
            <w:tcW w:type="dxa" w:w="2835"/>
          </w:tcPr>
          <w:p>
            <w:pPr>
              <w:spacing w:lineRule="exact" w:line="600"/>
              <w:jc w:val="center"/>
            </w:pPr>
            <w:r/>
            <w:r>
              <w:rPr>
                <w:rFonts w:ascii="仿宋_GB2312" w:hAnsi="仿宋_GB2312" w:eastAsia="仿宋_GB2312"/>
                <w:b w:val="0"/>
                <w:color w:val="000000"/>
                <w:sz w:val="32"/>
              </w:rPr>
              <w:t>公司公开介绍</w:t>
            </w:r>
          </w:p>
        </w:tc>
      </w:tr>
      <w:tr>
        <w:tc>
          <w:tcPr>
            <w:tcW w:type="dxa" w:w="2835"/>
          </w:tcPr>
          <w:p>
            <w:pPr>
              <w:spacing w:lineRule="exact" w:line="600"/>
              <w:jc w:val="center"/>
            </w:pPr>
            <w:r/>
            <w:r>
              <w:rPr>
                <w:rFonts w:ascii="仿宋_GB2312" w:hAnsi="仿宋_GB2312" w:eastAsia="仿宋_GB2312"/>
                <w:b w:val="0"/>
                <w:color w:val="000000"/>
                <w:sz w:val="32"/>
              </w:rPr>
              <w:t>二期规划投资</w:t>
            </w:r>
          </w:p>
        </w:tc>
        <w:tc>
          <w:tcPr>
            <w:tcW w:type="dxa" w:w="3402"/>
          </w:tcPr>
          <w:p>
            <w:pPr>
              <w:spacing w:lineRule="exact" w:line="600"/>
              <w:jc w:val="center"/>
            </w:pPr>
            <w:r/>
            <w:r>
              <w:rPr>
                <w:rFonts w:ascii="仿宋_GB2312" w:hAnsi="仿宋_GB2312" w:eastAsia="仿宋_GB2312"/>
                <w:b w:val="0"/>
                <w:color w:val="000000"/>
                <w:sz w:val="32"/>
              </w:rPr>
              <w:t>120亿元</w:t>
            </w:r>
          </w:p>
        </w:tc>
        <w:tc>
          <w:tcPr>
            <w:tcW w:type="dxa" w:w="2835"/>
          </w:tcPr>
          <w:p>
            <w:pPr>
              <w:spacing w:lineRule="exact" w:line="600"/>
              <w:jc w:val="center"/>
            </w:pPr>
            <w:r/>
            <w:r>
              <w:rPr>
                <w:rFonts w:ascii="仿宋_GB2312" w:hAnsi="仿宋_GB2312" w:eastAsia="仿宋_GB2312"/>
                <w:b w:val="0"/>
                <w:color w:val="000000"/>
                <w:sz w:val="32"/>
              </w:rPr>
              <w:t>公司公开介绍</w:t>
            </w:r>
          </w:p>
        </w:tc>
      </w:tr>
      <w:tr>
        <w:tc>
          <w:tcPr>
            <w:tcW w:type="dxa" w:w="2835"/>
          </w:tcPr>
          <w:p>
            <w:pPr>
              <w:spacing w:lineRule="exact" w:line="600"/>
              <w:jc w:val="center"/>
            </w:pPr>
            <w:r/>
            <w:r>
              <w:rPr>
                <w:rFonts w:ascii="仿宋_GB2312" w:hAnsi="仿宋_GB2312" w:eastAsia="仿宋_GB2312"/>
                <w:b w:val="0"/>
                <w:color w:val="000000"/>
                <w:sz w:val="32"/>
              </w:rPr>
              <w:t>资产负债率等</w:t>
            </w:r>
          </w:p>
        </w:tc>
        <w:tc>
          <w:tcPr>
            <w:tcW w:type="dxa" w:w="3402"/>
          </w:tcPr>
          <w:p>
            <w:pPr>
              <w:spacing w:lineRule="exact" w:line="600"/>
              <w:jc w:val="center"/>
            </w:pPr>
            <w:r/>
            <w:r>
              <w:rPr>
                <w:rFonts w:ascii="仿宋_GB2312" w:hAnsi="仿宋_GB2312" w:eastAsia="仿宋_GB2312"/>
                <w:b w:val="0"/>
                <w:color w:val="000000"/>
                <w:sz w:val="32"/>
              </w:rPr>
              <w:t>未公开披露</w:t>
            </w:r>
          </w:p>
        </w:tc>
        <w:tc>
          <w:tcPr>
            <w:tcW w:type="dxa" w:w="2835"/>
          </w:tcPr>
          <w:p>
            <w:pPr>
              <w:spacing w:lineRule="exact" w:line="600"/>
              <w:jc w:val="center"/>
            </w:pPr>
            <w:r/>
            <w:r>
              <w:rPr>
                <w:rFonts w:ascii="仿宋_GB2312" w:hAnsi="仿宋_GB2312" w:eastAsia="仿宋_GB2312"/>
                <w:b w:val="0"/>
                <w:color w:val="000000"/>
                <w:sz w:val="32"/>
              </w:rPr>
              <w:t>财务数据未公开披露</w:t>
            </w:r>
          </w:p>
        </w:tc>
      </w:tr>
    </w:tbl>
    <w:p>
      <w:pPr>
        <w:spacing w:lineRule="exact" w:line="600" w:before="120" w:after="120"/>
        <w:ind w:firstLine="420"/>
        <w:jc w:val="left"/>
      </w:pPr>
      <w:r>
        <w:rPr>
          <w:rFonts w:ascii="楷体_GB2312" w:hAnsi="楷体_GB2312" w:eastAsia="楷体_GB2312"/>
          <w:b w:val="0"/>
          <w:color w:val="000000"/>
          <w:sz w:val="32"/>
        </w:rPr>
        <w:t>（二）盈利与资产质量</w:t>
      </w:r>
    </w:p>
    <w:p>
      <w:pPr>
        <w:spacing w:lineRule="exact" w:line="600" w:before="0" w:after="0"/>
        <w:ind w:firstLine="420"/>
        <w:jc w:val="both"/>
      </w:pPr>
      <w:r>
        <w:rPr>
          <w:rFonts w:ascii="仿宋_GB2312" w:hAnsi="仿宋_GB2312" w:eastAsia="仿宋_GB2312"/>
          <w:b w:val="0"/>
          <w:color w:val="000000"/>
          <w:sz w:val="32"/>
        </w:rPr>
        <w:t>公司财务数据未公开披露。作为重资产焦化及煤化工企业，公司资产总额较大（一期投资36亿元），盈利能力受焦炭、甲醇价格周期与煤炭成本影响明显。</w:t>
      </w:r>
    </w:p>
    <w:p>
      <w:pPr>
        <w:spacing w:lineRule="exact" w:line="600" w:before="120" w:after="120"/>
        <w:ind w:firstLine="420"/>
        <w:jc w:val="left"/>
      </w:pPr>
      <w:r>
        <w:rPr>
          <w:rFonts w:ascii="楷体_GB2312" w:hAnsi="楷体_GB2312" w:eastAsia="楷体_GB2312"/>
          <w:b w:val="0"/>
          <w:color w:val="000000"/>
          <w:sz w:val="32"/>
        </w:rPr>
        <w:t>（三）负债与偿债</w:t>
      </w:r>
    </w:p>
    <w:p>
      <w:pPr>
        <w:spacing w:lineRule="exact" w:line="600" w:before="0" w:after="0"/>
        <w:ind w:firstLine="420"/>
        <w:jc w:val="both"/>
      </w:pPr>
      <w:r>
        <w:rPr>
          <w:rFonts w:ascii="仿宋_GB2312" w:hAnsi="仿宋_GB2312" w:eastAsia="仿宋_GB2312"/>
          <w:b w:val="0"/>
          <w:color w:val="000000"/>
          <w:sz w:val="32"/>
        </w:rPr>
        <w:t>公司财务数据未公开披露，资产负债率、有息负债等关键偿债指标无法获取。二期规划建设投资规模达120亿元，未来存在较大资本开支与融资需求。</w:t>
      </w:r>
    </w:p>
    <w:p>
      <w:pPr>
        <w:spacing w:lineRule="exact" w:line="600" w:before="120" w:after="120"/>
        <w:ind w:firstLine="420"/>
        <w:jc w:val="left"/>
      </w:pPr>
      <w:r>
        <w:rPr>
          <w:rFonts w:ascii="楷体_GB2312" w:hAnsi="楷体_GB2312" w:eastAsia="楷体_GB2312"/>
          <w:b w:val="0"/>
          <w:color w:val="000000"/>
          <w:sz w:val="32"/>
        </w:rPr>
        <w:t>（四）关键指标对标</w:t>
      </w:r>
    </w:p>
    <w:p>
      <w:pPr>
        <w:spacing w:lineRule="exact" w:line="600" w:before="0" w:after="0"/>
        <w:ind w:firstLine="420"/>
        <w:jc w:val="both"/>
      </w:pPr>
      <w:r>
        <w:rPr>
          <w:rFonts w:ascii="仿宋_GB2312" w:hAnsi="仿宋_GB2312" w:eastAsia="仿宋_GB2312"/>
          <w:b w:val="0"/>
          <w:color w:val="000000"/>
          <w:sz w:val="32"/>
        </w:rPr>
        <w:t>在焦化及煤化工领域，公司可比企业包括独立焦企及煤化工上市公司（如美锦能源、宝泰隆等），但财务口径不可直接对标。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公司为其他有限责任公司，设董事会、监事会及经营管理层。法定代表人王来发负责经营决策；控股股东山东恒信集团派出董事参与治理，江苏永钢集团作为重要股东参与重大事项。</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公司核心管理层具有焦化、煤化工行业经验，依托山东恒信集团的行业积累运营。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公司建立安全环保能源管控中心，配置DCS、SIS、CCS、DEH、TSI等先进控制系统，按石化安全规范设计防火防爆、可燃有毒气体报警等，注重安全、环保、能效的体系化管控。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公司员工1,100余人，其中研发技术人员100余人，参保约862人（2025年），是当地重要的用工企业。</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循环经济壁垒：构建"煤—焦—化—材"一体化循环经济，煤气、余热、蒸汽梯级利用，综合能耗较传统工艺降低约30%，废水零排放，成本与环保优势突出。二是规模与装备壁垒：一期年产120万吨焦炭、15万吨甲醇，二期规划高端化工产能，装备处于国内先进水平。三是园区协同壁垒：地处宁阳化工产业园核心，为下游企业提供氢气、一氧化碳等原料，形成强产业链粘性。四是技术与绿色壁垒：高新技术企业、绿色工厂，本质安全与超低排放配置领先。五是股东与资源壁垒：背靠山东恒信集团与江苏永钢集团，资本与产业资源雄厚。</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焦化及煤化工行业强周期，焦炭、甲醇价格受宏观经济与供需影响波动大；煤炭原料成本上行将挤压利润。</w:t>
      </w:r>
    </w:p>
    <w:p>
      <w:pPr>
        <w:spacing w:lineRule="exact" w:line="600" w:before="120" w:after="120"/>
        <w:ind w:firstLine="420"/>
        <w:jc w:val="left"/>
      </w:pPr>
      <w:r>
        <w:rPr>
          <w:rFonts w:ascii="楷体_GB2312" w:hAnsi="楷体_GB2312" w:eastAsia="楷体_GB2312"/>
          <w:b w:val="0"/>
          <w:color w:val="000000"/>
          <w:sz w:val="32"/>
        </w:rPr>
        <w:t>（二）政策与环保风险</w:t>
      </w:r>
    </w:p>
    <w:p>
      <w:pPr>
        <w:spacing w:lineRule="exact" w:line="600" w:before="0" w:after="0"/>
        <w:ind w:firstLine="420"/>
        <w:jc w:val="both"/>
      </w:pPr>
      <w:r>
        <w:rPr>
          <w:rFonts w:ascii="仿宋_GB2312" w:hAnsi="仿宋_GB2312" w:eastAsia="仿宋_GB2312"/>
          <w:b w:val="0"/>
          <w:color w:val="000000"/>
          <w:sz w:val="32"/>
        </w:rPr>
        <w:t>"双碳"背景下焦化属高耗能、高排放行业，环保、能耗约束趋严，环保与安全合规投入持续增加；产业政策调整可能影响产能与开工。</w:t>
      </w:r>
    </w:p>
    <w:p>
      <w:pPr>
        <w:spacing w:lineRule="exact" w:line="600" w:before="120" w:after="120"/>
        <w:ind w:firstLine="420"/>
        <w:jc w:val="left"/>
      </w:pPr>
      <w:r>
        <w:rPr>
          <w:rFonts w:ascii="楷体_GB2312" w:hAnsi="楷体_GB2312" w:eastAsia="楷体_GB2312"/>
          <w:b w:val="0"/>
          <w:color w:val="000000"/>
          <w:sz w:val="32"/>
        </w:rPr>
        <w:t>（三）财务与投资风险</w:t>
      </w:r>
    </w:p>
    <w:p>
      <w:pPr>
        <w:spacing w:lineRule="exact" w:line="600" w:before="0" w:after="0"/>
        <w:ind w:firstLine="420"/>
        <w:jc w:val="both"/>
      </w:pPr>
      <w:r>
        <w:rPr>
          <w:rFonts w:ascii="仿宋_GB2312" w:hAnsi="仿宋_GB2312" w:eastAsia="仿宋_GB2312"/>
          <w:b w:val="0"/>
          <w:color w:val="000000"/>
          <w:sz w:val="32"/>
        </w:rPr>
        <w:t>公司财务未公开披露，外部难以评估真实偿债与现金流；二期120亿元投资规模大，若融资不畅或项目收益不及预期，将带来资金链与投资风险。</w:t>
      </w:r>
    </w:p>
    <w:p>
      <w:pPr>
        <w:spacing w:lineRule="exact" w:line="600" w:before="120" w:after="120"/>
        <w:ind w:firstLine="420"/>
        <w:jc w:val="left"/>
      </w:pPr>
      <w:r>
        <w:rPr>
          <w:rFonts w:ascii="楷体_GB2312" w:hAnsi="楷体_GB2312" w:eastAsia="楷体_GB2312"/>
          <w:b w:val="0"/>
          <w:color w:val="000000"/>
          <w:sz w:val="32"/>
        </w:rPr>
        <w:t>（四）应对措施</w:t>
      </w:r>
    </w:p>
    <w:p>
      <w:pPr>
        <w:spacing w:lineRule="exact" w:line="600" w:before="0" w:after="0"/>
        <w:ind w:firstLine="420"/>
        <w:jc w:val="both"/>
      </w:pPr>
      <w:r>
        <w:rPr>
          <w:rFonts w:ascii="仿宋_GB2312" w:hAnsi="仿宋_GB2312" w:eastAsia="仿宋_GB2312"/>
          <w:b w:val="0"/>
          <w:color w:val="000000"/>
          <w:sz w:val="32"/>
        </w:rPr>
        <w:t>公司通过延伸高端化工链条（DMC、聚碳酸酯、氢能源）降低周期依赖；坚持超低排放与本质安全管控；依托股东资源与园区协同平滑周期波动。</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公司上游为煤炭供应商，可在焦煤采购环节通过供应链金融平台提供预付/采购融资，稳定原料供应。</w:t>
      </w:r>
    </w:p>
    <w:p>
      <w:pPr>
        <w:spacing w:lineRule="exact" w:line="600" w:before="120" w:after="120"/>
        <w:ind w:firstLine="420"/>
        <w:jc w:val="left"/>
      </w:pPr>
      <w:r>
        <w:rPr>
          <w:rFonts w:ascii="楷体_GB2312" w:hAnsi="楷体_GB2312" w:eastAsia="楷体_GB2312"/>
          <w:b w:val="0"/>
          <w:color w:val="000000"/>
          <w:sz w:val="32"/>
        </w:rPr>
        <w:t>（二）融资租赁</w:t>
      </w:r>
    </w:p>
    <w:p>
      <w:pPr>
        <w:spacing w:lineRule="exact" w:line="600" w:before="0" w:after="0"/>
        <w:ind w:firstLine="420"/>
        <w:jc w:val="both"/>
      </w:pPr>
      <w:r>
        <w:rPr>
          <w:rFonts w:ascii="仿宋_GB2312" w:hAnsi="仿宋_GB2312" w:eastAsia="仿宋_GB2312"/>
          <w:b w:val="0"/>
          <w:color w:val="000000"/>
          <w:sz w:val="32"/>
        </w:rPr>
        <w:t>二期高端化工装置（DMC、聚碳酸酯、氢能源等）建设规模大，可通过融资租赁、设备直租方式获取装置设备，缓解资本开支压力。</w:t>
      </w:r>
    </w:p>
    <w:p>
      <w:pPr>
        <w:spacing w:lineRule="exact" w:line="600" w:before="120" w:after="120"/>
        <w:ind w:firstLine="420"/>
        <w:jc w:val="left"/>
      </w:pPr>
      <w:r>
        <w:rPr>
          <w:rFonts w:ascii="楷体_GB2312" w:hAnsi="楷体_GB2312" w:eastAsia="楷体_GB2312"/>
          <w:b w:val="0"/>
          <w:color w:val="000000"/>
          <w:sz w:val="32"/>
        </w:rPr>
        <w:t>（三）保理业务</w:t>
      </w:r>
    </w:p>
    <w:p>
      <w:pPr>
        <w:spacing w:lineRule="exact" w:line="600" w:before="0" w:after="0"/>
        <w:ind w:firstLine="420"/>
        <w:jc w:val="both"/>
      </w:pPr>
      <w:r>
        <w:rPr>
          <w:rFonts w:ascii="仿宋_GB2312" w:hAnsi="仿宋_GB2312" w:eastAsia="仿宋_GB2312"/>
          <w:b w:val="0"/>
          <w:color w:val="000000"/>
          <w:sz w:val="32"/>
        </w:rPr>
        <w:t>公司对园区下游企业存在气体、原料应收账款，可开展保理业务盘活资金。</w:t>
      </w:r>
    </w:p>
    <w:p>
      <w:pPr>
        <w:spacing w:lineRule="exact" w:line="600" w:before="120" w:after="120"/>
        <w:ind w:firstLine="420"/>
        <w:jc w:val="left"/>
      </w:pPr>
      <w:r>
        <w:rPr>
          <w:rFonts w:ascii="楷体_GB2312" w:hAnsi="楷体_GB2312" w:eastAsia="楷体_GB2312"/>
          <w:b w:val="0"/>
          <w:color w:val="000000"/>
          <w:sz w:val="32"/>
        </w:rPr>
        <w:t>（四）产业基金/小贷</w:t>
      </w:r>
    </w:p>
    <w:p>
      <w:pPr>
        <w:spacing w:lineRule="exact" w:line="600" w:before="0" w:after="0"/>
        <w:ind w:firstLine="420"/>
        <w:jc w:val="both"/>
      </w:pPr>
      <w:r>
        <w:rPr>
          <w:rFonts w:ascii="仿宋_GB2312" w:hAnsi="仿宋_GB2312" w:eastAsia="仿宋_GB2312"/>
          <w:b w:val="0"/>
          <w:color w:val="000000"/>
          <w:sz w:val="32"/>
        </w:rPr>
        <w:t>针对技改与二期建设资金需求，可通过产业基金、项目贷款及小贷工具组合支持，但需配套项目收益与资产抵押风控。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恒信高科能源有限公司是宁阳县高端化工特色产业集群的链主企业，依托"煤—焦—化—材"循环经济与退城进园升级项目，具备显著的规模、装备、绿色与园区协同优势，是区域煤化工转型的标杆。</w:t>
      </w:r>
    </w:p>
    <w:p>
      <w:pPr>
        <w:spacing w:lineRule="exact" w:line="600" w:before="0" w:after="0"/>
        <w:ind w:firstLine="420"/>
        <w:jc w:val="both"/>
      </w:pPr>
      <w:r>
        <w:rPr>
          <w:rFonts w:ascii="仿宋_GB2312" w:hAnsi="仿宋_GB2312" w:eastAsia="仿宋_GB2312"/>
          <w:b w:val="0"/>
          <w:color w:val="000000"/>
          <w:sz w:val="32"/>
        </w:rPr>
        <w:t>发展展望：随着二期高端化工（DMC、聚碳酸酯、氢能源等）投产，公司有望从传统焦化向高附加值高端化工跃升，达产后预计年销售收入220亿元、利税超50亿元。</w:t>
      </w:r>
    </w:p>
    <w:p>
      <w:pPr>
        <w:spacing w:lineRule="exact" w:line="600" w:before="0" w:after="0"/>
        <w:ind w:firstLine="420"/>
        <w:jc w:val="both"/>
      </w:pPr>
      <w:r>
        <w:rPr>
          <w:rFonts w:ascii="仿宋_GB2312" w:hAnsi="仿宋_GB2312" w:eastAsia="仿宋_GB2312"/>
          <w:b w:val="0"/>
          <w:color w:val="000000"/>
          <w:sz w:val="32"/>
        </w:rPr>
        <w:t>建议：一是加快推进财务规范化与信息披露，为后续资本运作与融资协同创造条件；二是借助山东投资供应链金融、融资租赁等工具支持二期高端化工装置建设；三是强化"双碳"背景下的绿色低碳与氢能布局，提升长期竞争力；四是建立周期对冲与价格风险管理机制，平滑行业波动。</w:t>
      </w:r>
    </w:p>
    <w:p>
      <w:pPr>
        <w:spacing w:lineRule="exact" w:line="600" w:before="0" w:after="0"/>
        <w:jc w:val="left"/>
      </w:pPr>
      <w:r>
        <w:rPr>
          <w:rFonts w:ascii="仿宋_GB2312" w:hAnsi="仿宋_GB2312" w:eastAsia="仿宋_GB2312"/>
          <w:b w:val="0"/>
          <w:color w:val="000000"/>
          <w:sz w:val="28"/>
        </w:rPr>
        <w:t>数据来源说明：本报告的工商信息来源于国家企业信用信息公示系统、天眼查/爱企查/企查查；项目与产能信息来源于山东恒信集团官网、恒信高科官网及公开报道；财务数据因非上市企业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