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宁阳县高端化工特色产业集群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山东晋煤明升达化工有限公司(明升达)企业分析报告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企查查、中国化工学会/行业公开资料及公开报道，统计时点截至最新可查披露信息。注：该公司曾用名"山东明升达化工有限公司"，登记机关登记名称含"山东晋煤"字样；本报告依据批次要求使用"山东晋煤明升达化工有限公司(明升达)"。该公司为非上市企业，未公开披露完整财务报告，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晋煤明升达化工有限公司（曾用名：山东明升达化工有限公司）统一社会信用代码为913709216894825982，成立于2009年5月31日，法定代表人为刘文举。公司注册资本3,936万元。注册地址位于山东省泰安市宁阳县经济开发区（磁窑经济技术开发区）灵山大道以西、堡头大街以北（宁阳化工产业园内）。</w:t>
      </w:r>
    </w:p>
    <w:p>
      <w:pPr>
        <w:spacing w:lineRule="exact" w:line="600" w:before="0" w:after="0"/>
        <w:ind w:firstLine="420"/>
        <w:jc w:val="both"/>
      </w:pPr>
      <w:r>
        <w:rPr>
          <w:rFonts w:ascii="仿宋_GB2312" w:hAnsi="仿宋_GB2312" w:eastAsia="仿宋_GB2312"/>
          <w:b w:val="0"/>
          <w:color w:val="000000"/>
          <w:sz w:val="32"/>
        </w:rPr>
        <w:t>股权结构方面，公司由山东晋控明水化工集团有限公司持股约50.81%为控股股东，国开发展基金有限公司持股约49.19%。公司前身为宁阳县化肥厂（始建于1968年），是明泉集团体系内的重要化工企业。公司参保人数约392—415人，现有员工500余人，占地1,000余亩，属中型企业，为泰安市高端化工产业链副会长单位。</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项目</w:t>
            </w:r>
          </w:p>
        </w:tc>
        <w:tc>
          <w:tcPr>
            <w:tcW w:type="dxa" w:w="6236"/>
          </w:tcPr>
          <w:p>
            <w:pPr>
              <w:spacing w:lineRule="exact" w:line="600"/>
              <w:jc w:val="center"/>
            </w:pPr>
            <w:r/>
            <w:r>
              <w:rPr>
                <w:rFonts w:ascii="黑体" w:hAnsi="黑体" w:eastAsia="黑体"/>
                <w:b/>
                <w:color w:val="000000"/>
                <w:sz w:val="32"/>
              </w:rPr>
              <w:t>内容</w:t>
            </w:r>
          </w:p>
        </w:tc>
      </w:tr>
      <w:tr>
        <w:tc>
          <w:tcPr>
            <w:tcW w:type="dxa" w:w="2835"/>
          </w:tcPr>
          <w:p>
            <w:pPr>
              <w:spacing w:lineRule="exact" w:line="600"/>
              <w:jc w:val="center"/>
            </w:pPr>
            <w:r/>
            <w:r>
              <w:rPr>
                <w:rFonts w:ascii="仿宋_GB2312" w:hAnsi="仿宋_GB2312" w:eastAsia="仿宋_GB2312"/>
                <w:b w:val="0"/>
                <w:color w:val="000000"/>
                <w:sz w:val="32"/>
              </w:rPr>
              <w:t>统一社会信用代码</w:t>
            </w:r>
          </w:p>
        </w:tc>
        <w:tc>
          <w:tcPr>
            <w:tcW w:type="dxa" w:w="6236"/>
          </w:tcPr>
          <w:p>
            <w:pPr>
              <w:spacing w:lineRule="exact" w:line="600"/>
              <w:jc w:val="center"/>
            </w:pPr>
            <w:r/>
            <w:r>
              <w:rPr>
                <w:rFonts w:ascii="仿宋_GB2312" w:hAnsi="仿宋_GB2312" w:eastAsia="仿宋_GB2312"/>
                <w:b w:val="0"/>
                <w:color w:val="000000"/>
                <w:sz w:val="32"/>
              </w:rPr>
              <w:t>913709216894825982</w:t>
            </w:r>
          </w:p>
        </w:tc>
      </w:tr>
      <w:tr>
        <w:tc>
          <w:tcPr>
            <w:tcW w:type="dxa" w:w="2835"/>
          </w:tcPr>
          <w:p>
            <w:pPr>
              <w:spacing w:lineRule="exact" w:line="600"/>
              <w:jc w:val="center"/>
            </w:pPr>
            <w:r/>
            <w:r>
              <w:rPr>
                <w:rFonts w:ascii="仿宋_GB2312" w:hAnsi="仿宋_GB2312" w:eastAsia="仿宋_GB2312"/>
                <w:b w:val="0"/>
                <w:color w:val="000000"/>
                <w:sz w:val="32"/>
              </w:rPr>
              <w:t>成立日期</w:t>
            </w:r>
          </w:p>
        </w:tc>
        <w:tc>
          <w:tcPr>
            <w:tcW w:type="dxa" w:w="6236"/>
          </w:tcPr>
          <w:p>
            <w:pPr>
              <w:spacing w:lineRule="exact" w:line="600"/>
              <w:jc w:val="center"/>
            </w:pPr>
            <w:r/>
            <w:r>
              <w:rPr>
                <w:rFonts w:ascii="仿宋_GB2312" w:hAnsi="仿宋_GB2312" w:eastAsia="仿宋_GB2312"/>
                <w:b w:val="0"/>
                <w:color w:val="000000"/>
                <w:sz w:val="32"/>
              </w:rPr>
              <w:t>2009年5月31日（前身宁阳县化肥厂始建于1968年）</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刘文举</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3,936万元</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山东晋控明水化工集团有限公司（约50.81%）</w:t>
            </w:r>
          </w:p>
        </w:tc>
      </w:tr>
      <w:tr>
        <w:tc>
          <w:tcPr>
            <w:tcW w:type="dxa" w:w="2835"/>
          </w:tcPr>
          <w:p>
            <w:pPr>
              <w:spacing w:lineRule="exact" w:line="600"/>
              <w:jc w:val="center"/>
            </w:pPr>
            <w:r/>
            <w:r>
              <w:rPr>
                <w:rFonts w:ascii="仿宋_GB2312" w:hAnsi="仿宋_GB2312" w:eastAsia="仿宋_GB2312"/>
                <w:b w:val="0"/>
                <w:color w:val="000000"/>
                <w:sz w:val="32"/>
              </w:rPr>
              <w:t>其他股东</w:t>
            </w:r>
          </w:p>
        </w:tc>
        <w:tc>
          <w:tcPr>
            <w:tcW w:type="dxa" w:w="6236"/>
          </w:tcPr>
          <w:p>
            <w:pPr>
              <w:spacing w:lineRule="exact" w:line="600"/>
              <w:jc w:val="center"/>
            </w:pPr>
            <w:r/>
            <w:r>
              <w:rPr>
                <w:rFonts w:ascii="仿宋_GB2312" w:hAnsi="仿宋_GB2312" w:eastAsia="仿宋_GB2312"/>
                <w:b w:val="0"/>
                <w:color w:val="000000"/>
                <w:sz w:val="32"/>
              </w:rPr>
              <w:t>国开发展基金有限公司（约49.19%）</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约392—415人，员工500余人</w:t>
            </w:r>
          </w:p>
        </w:tc>
      </w:tr>
      <w:tr>
        <w:tc>
          <w:tcPr>
            <w:tcW w:type="dxa" w:w="2835"/>
          </w:tcPr>
          <w:p>
            <w:pPr>
              <w:spacing w:lineRule="exact" w:line="600"/>
              <w:jc w:val="center"/>
            </w:pPr>
            <w:r/>
            <w:r>
              <w:rPr>
                <w:rFonts w:ascii="仿宋_GB2312" w:hAnsi="仿宋_GB2312" w:eastAsia="仿宋_GB2312"/>
                <w:b w:val="0"/>
                <w:color w:val="000000"/>
                <w:sz w:val="32"/>
              </w:rPr>
              <w:t>占地面积</w:t>
            </w:r>
          </w:p>
        </w:tc>
        <w:tc>
          <w:tcPr>
            <w:tcW w:type="dxa" w:w="6236"/>
          </w:tcPr>
          <w:p>
            <w:pPr>
              <w:spacing w:lineRule="exact" w:line="600"/>
              <w:jc w:val="center"/>
            </w:pPr>
            <w:r/>
            <w:r>
              <w:rPr>
                <w:rFonts w:ascii="仿宋_GB2312" w:hAnsi="仿宋_GB2312" w:eastAsia="仿宋_GB2312"/>
                <w:b w:val="0"/>
                <w:color w:val="000000"/>
                <w:sz w:val="32"/>
              </w:rPr>
              <w:t>1,000余亩</w:t>
            </w:r>
          </w:p>
        </w:tc>
      </w:tr>
      <w:tr>
        <w:tc>
          <w:tcPr>
            <w:tcW w:type="dxa" w:w="2835"/>
          </w:tcPr>
          <w:p>
            <w:pPr>
              <w:spacing w:lineRule="exact" w:line="600"/>
              <w:jc w:val="center"/>
            </w:pPr>
            <w:r/>
            <w:r>
              <w:rPr>
                <w:rFonts w:ascii="仿宋_GB2312" w:hAnsi="仿宋_GB2312" w:eastAsia="仿宋_GB2312"/>
                <w:b w:val="0"/>
                <w:color w:val="000000"/>
                <w:sz w:val="32"/>
              </w:rPr>
              <w:t>登记状态</w:t>
            </w:r>
          </w:p>
        </w:tc>
        <w:tc>
          <w:tcPr>
            <w:tcW w:type="dxa" w:w="6236"/>
          </w:tcPr>
          <w:p>
            <w:pPr>
              <w:spacing w:lineRule="exact" w:line="600"/>
              <w:jc w:val="center"/>
            </w:pPr>
            <w:r/>
            <w:r>
              <w:rPr>
                <w:rFonts w:ascii="仿宋_GB2312" w:hAnsi="仿宋_GB2312" w:eastAsia="仿宋_GB2312"/>
                <w:b w:val="0"/>
                <w:color w:val="000000"/>
                <w:sz w:val="32"/>
              </w:rPr>
              <w:t>存续</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构建了"气化功能岛、动力功能岛、环保功能岛"为核心的一体化化工生产体系，业务涵盖合成氨、尿素等氮肥生产，工业气体（氢气、一氧化碳、氮气等）制造，热力供应及下游高分子材料延伸，并规划建设明升达高分子材料产业园。</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宁阳县化肥厂始建于1968年，2009年改制成立山东明升达化工有限公司，后引入晋控体系股东更为现名。公司作为国家级高新技术企业，2024年获国家级合成氨行业原料燃料动力消耗对标标杆单位称号，2026年入选省级制造业数字化转型揭榜挂帅试点项目。正由单一氮肥企业向以洁净煤气化为龙头、工业气体与高端材料为主的大型化工企业转型。</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以洁净煤气化为龙头，工业气体、高端肥料、高端材料、资源利用为主的大型综合性化工企业"，主营业务为合成氨、尿素等化学肥料与化工原料生产，热力供应、气体制造，并向下游高分子材料、高附加值产品延伸。</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公司收入以尿素、合成氨等氮肥及化工原料为主，并配套蒸汽、工业气体（氢气、一氧化碳、氮气）外供及热力供应。规划向高分子材料、医药中间体等高附加值产品延伸。</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主要产品包括液氨、尿素、蒸汽、氢气、液体二氧化碳、一氧化碳、硫酸铵、液氧、液氮、液氩、硫酸等10多个品种。</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公司客户涵盖农资经销商（尿素等肥料）、化工园区下游企业（氢气、一氧化碳等工业气体）及供热用户。肥料产品面向春耕等农时旺季，工业气体优先保障园区协同。</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上游主要原材料为烟煤，焦煤价格波动影响成本；公司发挥新型洁净煤气化优势，实现"一头多尾"的资源高效利用。</w:t>
      </w:r>
    </w:p>
    <w:p>
      <w:pPr>
        <w:spacing w:lineRule="exact" w:line="600" w:before="120" w:after="120"/>
        <w:ind w:firstLine="420"/>
        <w:jc w:val="left"/>
      </w:pPr>
      <w:r>
        <w:rPr>
          <w:rFonts w:ascii="楷体_GB2312" w:hAnsi="楷体_GB2312" w:eastAsia="楷体_GB2312"/>
          <w:b w:val="0"/>
          <w:color w:val="000000"/>
          <w:sz w:val="32"/>
        </w:rPr>
        <w:t>（五）产能与资源</w:t>
      </w:r>
    </w:p>
    <w:p>
      <w:pPr>
        <w:spacing w:lineRule="exact" w:line="600" w:before="0" w:after="0"/>
        <w:ind w:firstLine="420"/>
        <w:jc w:val="both"/>
      </w:pPr>
      <w:r>
        <w:rPr>
          <w:rFonts w:ascii="仿宋_GB2312" w:hAnsi="仿宋_GB2312" w:eastAsia="仿宋_GB2312"/>
          <w:b w:val="0"/>
          <w:color w:val="000000"/>
          <w:sz w:val="32"/>
        </w:rPr>
        <w:t>公司现具备年产40万吨合成氨、60万吨尿素生产能力；每年可为化工园区供给约1.5亿方氢气、5,000万方一氧化碳、2,880万方氮气、10万吨液氨；年外供蒸汽总量402万吨，供热首站可供采暖面积258万㎡。公开报道显示春耕旺季尿素日均产量约1,200吨、合成氨约901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公司采用"肥料销售+工业气体外供+园区协同"模式，尿素等通过经销商网络覆盖农资市场，氢气、一氧化碳等气体及蒸汽优先供给宁阳化工产业园下游企业。</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开资料显示，公司2022年实现销售收入20.24亿元，总资产35.85亿元；2024年提出"营收突破50亿元、税收2亿元"的年度目标（规划目标，非审计数据）。公司是泰安市工业企业领军50强、泰安市高端化工产业链副会长单位，在合成氨产业链中发挥重要作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山东晋煤明升达化工有限公司为非上市企业，未公开披露经审计的完整年度财务报告，下列列示公开渠道可获取的个别年度数据，完整的近三年三张报表数据无法公开获取，特此说明，不对未披露财务数据作估计或推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公开可获取数据</w:t>
            </w:r>
          </w:p>
        </w:tc>
        <w:tc>
          <w:tcPr>
            <w:tcW w:type="dxa" w:w="2835"/>
          </w:tcPr>
          <w:p>
            <w:pPr>
              <w:spacing w:lineRule="exact" w:line="600"/>
              <w:jc w:val="center"/>
            </w:pPr>
            <w:r/>
            <w:r>
              <w:rPr>
                <w:rFonts w:ascii="黑体" w:hAnsi="黑体" w:eastAsia="黑体"/>
                <w:b/>
                <w:color w:val="000000"/>
                <w:sz w:val="32"/>
              </w:rPr>
              <w:t>来源/说明</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3402"/>
          </w:tcPr>
          <w:p>
            <w:pPr>
              <w:spacing w:lineRule="exact" w:line="600"/>
              <w:jc w:val="center"/>
            </w:pPr>
            <w:r/>
            <w:r>
              <w:rPr>
                <w:rFonts w:ascii="仿宋_GB2312" w:hAnsi="仿宋_GB2312" w:eastAsia="仿宋_GB2312"/>
                <w:b w:val="0"/>
                <w:color w:val="000000"/>
                <w:sz w:val="32"/>
              </w:rPr>
              <w:t>3,936万元</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835"/>
          </w:tcPr>
          <w:p>
            <w:pPr>
              <w:spacing w:lineRule="exact" w:line="600"/>
              <w:jc w:val="center"/>
            </w:pPr>
            <w:r/>
            <w:r>
              <w:rPr>
                <w:rFonts w:ascii="仿宋_GB2312" w:hAnsi="仿宋_GB2312" w:eastAsia="仿宋_GB2312"/>
                <w:b w:val="0"/>
                <w:color w:val="000000"/>
                <w:sz w:val="32"/>
              </w:rPr>
              <w:t>总资产</w:t>
            </w:r>
          </w:p>
        </w:tc>
        <w:tc>
          <w:tcPr>
            <w:tcW w:type="dxa" w:w="3402"/>
          </w:tcPr>
          <w:p>
            <w:pPr>
              <w:spacing w:lineRule="exact" w:line="600"/>
              <w:jc w:val="center"/>
            </w:pPr>
            <w:r/>
            <w:r>
              <w:rPr>
                <w:rFonts w:ascii="仿宋_GB2312" w:hAnsi="仿宋_GB2312" w:eastAsia="仿宋_GB2312"/>
                <w:b w:val="0"/>
                <w:color w:val="000000"/>
                <w:sz w:val="32"/>
              </w:rPr>
              <w:t>35.85亿元</w:t>
            </w:r>
          </w:p>
        </w:tc>
        <w:tc>
          <w:tcPr>
            <w:tcW w:type="dxa" w:w="2835"/>
          </w:tcPr>
          <w:p>
            <w:pPr>
              <w:spacing w:lineRule="exact" w:line="600"/>
              <w:jc w:val="center"/>
            </w:pPr>
            <w:r/>
            <w:r>
              <w:rPr>
                <w:rFonts w:ascii="仿宋_GB2312" w:hAnsi="仿宋_GB2312" w:eastAsia="仿宋_GB2312"/>
                <w:b w:val="0"/>
                <w:color w:val="000000"/>
                <w:sz w:val="32"/>
              </w:rPr>
              <w:t>行业公开资料</w:t>
            </w:r>
          </w:p>
        </w:tc>
      </w:tr>
      <w:tr>
        <w:tc>
          <w:tcPr>
            <w:tcW w:type="dxa" w:w="2835"/>
          </w:tcPr>
          <w:p>
            <w:pPr>
              <w:spacing w:lineRule="exact" w:line="600"/>
              <w:jc w:val="center"/>
            </w:pPr>
            <w:r/>
            <w:r>
              <w:rPr>
                <w:rFonts w:ascii="仿宋_GB2312" w:hAnsi="仿宋_GB2312" w:eastAsia="仿宋_GB2312"/>
                <w:b w:val="0"/>
                <w:color w:val="000000"/>
                <w:sz w:val="32"/>
              </w:rPr>
              <w:t>2022年销售收入</w:t>
            </w:r>
          </w:p>
        </w:tc>
        <w:tc>
          <w:tcPr>
            <w:tcW w:type="dxa" w:w="3402"/>
          </w:tcPr>
          <w:p>
            <w:pPr>
              <w:spacing w:lineRule="exact" w:line="600"/>
              <w:jc w:val="center"/>
            </w:pPr>
            <w:r/>
            <w:r>
              <w:rPr>
                <w:rFonts w:ascii="仿宋_GB2312" w:hAnsi="仿宋_GB2312" w:eastAsia="仿宋_GB2312"/>
                <w:b w:val="0"/>
                <w:color w:val="000000"/>
                <w:sz w:val="32"/>
              </w:rPr>
              <w:t>20.24亿元</w:t>
            </w:r>
          </w:p>
        </w:tc>
        <w:tc>
          <w:tcPr>
            <w:tcW w:type="dxa" w:w="2835"/>
          </w:tcPr>
          <w:p>
            <w:pPr>
              <w:spacing w:lineRule="exact" w:line="600"/>
              <w:jc w:val="center"/>
            </w:pPr>
            <w:r/>
            <w:r>
              <w:rPr>
                <w:rFonts w:ascii="仿宋_GB2312" w:hAnsi="仿宋_GB2312" w:eastAsia="仿宋_GB2312"/>
                <w:b w:val="0"/>
                <w:color w:val="000000"/>
                <w:sz w:val="32"/>
              </w:rPr>
              <w:t>行业公开资料</w:t>
            </w:r>
          </w:p>
        </w:tc>
      </w:tr>
      <w:tr>
        <w:tc>
          <w:tcPr>
            <w:tcW w:type="dxa" w:w="2835"/>
          </w:tcPr>
          <w:p>
            <w:pPr>
              <w:spacing w:lineRule="exact" w:line="600"/>
              <w:jc w:val="center"/>
            </w:pPr>
            <w:r/>
            <w:r>
              <w:rPr>
                <w:rFonts w:ascii="仿宋_GB2312" w:hAnsi="仿宋_GB2312" w:eastAsia="仿宋_GB2312"/>
                <w:b w:val="0"/>
                <w:color w:val="000000"/>
                <w:sz w:val="32"/>
              </w:rPr>
              <w:t>2024年营收目标</w:t>
            </w:r>
          </w:p>
        </w:tc>
        <w:tc>
          <w:tcPr>
            <w:tcW w:type="dxa" w:w="3402"/>
          </w:tcPr>
          <w:p>
            <w:pPr>
              <w:spacing w:lineRule="exact" w:line="600"/>
              <w:jc w:val="center"/>
            </w:pPr>
            <w:r/>
            <w:r>
              <w:rPr>
                <w:rFonts w:ascii="仿宋_GB2312" w:hAnsi="仿宋_GB2312" w:eastAsia="仿宋_GB2312"/>
                <w:b w:val="0"/>
                <w:color w:val="000000"/>
                <w:sz w:val="32"/>
              </w:rPr>
              <w:t>突破50亿元（规划目标）</w:t>
            </w:r>
          </w:p>
        </w:tc>
        <w:tc>
          <w:tcPr>
            <w:tcW w:type="dxa" w:w="2835"/>
          </w:tcPr>
          <w:p>
            <w:pPr>
              <w:spacing w:lineRule="exact" w:line="600"/>
              <w:jc w:val="center"/>
            </w:pPr>
            <w:r/>
            <w:r>
              <w:rPr>
                <w:rFonts w:ascii="仿宋_GB2312" w:hAnsi="仿宋_GB2312" w:eastAsia="仿宋_GB2312"/>
                <w:b w:val="0"/>
                <w:color w:val="000000"/>
                <w:sz w:val="32"/>
              </w:rPr>
              <w:t>公开报道</w:t>
            </w:r>
          </w:p>
        </w:tc>
      </w:tr>
      <w:tr>
        <w:tc>
          <w:tcPr>
            <w:tcW w:type="dxa" w:w="2835"/>
          </w:tcPr>
          <w:p>
            <w:pPr>
              <w:spacing w:lineRule="exact" w:line="600"/>
              <w:jc w:val="center"/>
            </w:pPr>
            <w:r/>
            <w:r>
              <w:rPr>
                <w:rFonts w:ascii="仿宋_GB2312" w:hAnsi="仿宋_GB2312" w:eastAsia="仿宋_GB2312"/>
                <w:b w:val="0"/>
                <w:color w:val="000000"/>
                <w:sz w:val="32"/>
              </w:rPr>
              <w:t>资产负债率等</w:t>
            </w:r>
          </w:p>
        </w:tc>
        <w:tc>
          <w:tcPr>
            <w:tcW w:type="dxa" w:w="3402"/>
          </w:tcPr>
          <w:p>
            <w:pPr>
              <w:spacing w:lineRule="exact" w:line="600"/>
              <w:jc w:val="center"/>
            </w:pPr>
            <w:r/>
            <w:r>
              <w:rPr>
                <w:rFonts w:ascii="仿宋_GB2312" w:hAnsi="仿宋_GB2312" w:eastAsia="仿宋_GB2312"/>
                <w:b w:val="0"/>
                <w:color w:val="000000"/>
                <w:sz w:val="32"/>
              </w:rPr>
              <w:t>未公开披露</w:t>
            </w:r>
          </w:p>
        </w:tc>
        <w:tc>
          <w:tcPr>
            <w:tcW w:type="dxa" w:w="2835"/>
          </w:tcPr>
          <w:p>
            <w:pPr>
              <w:spacing w:lineRule="exact" w:line="600"/>
              <w:jc w:val="center"/>
            </w:pPr>
            <w:r/>
            <w:r>
              <w:rPr>
                <w:rFonts w:ascii="仿宋_GB2312" w:hAnsi="仿宋_GB2312" w:eastAsia="仿宋_GB2312"/>
                <w:b w:val="0"/>
                <w:color w:val="000000"/>
                <w:sz w:val="32"/>
              </w:rPr>
              <w:t>财务数据未公开披露</w:t>
            </w:r>
          </w:p>
        </w:tc>
      </w:tr>
    </w:tbl>
    <w:p>
      <w:pPr>
        <w:spacing w:lineRule="exact" w:line="600" w:before="120" w:after="120"/>
        <w:ind w:firstLine="420"/>
        <w:jc w:val="left"/>
      </w:pPr>
      <w:r>
        <w:rPr>
          <w:rFonts w:ascii="楷体_GB2312" w:hAnsi="楷体_GB2312" w:eastAsia="楷体_GB2312"/>
          <w:b w:val="0"/>
          <w:color w:val="000000"/>
          <w:sz w:val="32"/>
        </w:rPr>
        <w:t>（二）盈利与资产质量</w:t>
      </w:r>
    </w:p>
    <w:p>
      <w:pPr>
        <w:spacing w:lineRule="exact" w:line="600" w:before="0" w:after="0"/>
        <w:ind w:firstLine="420"/>
        <w:jc w:val="both"/>
      </w:pPr>
      <w:r>
        <w:rPr>
          <w:rFonts w:ascii="仿宋_GB2312" w:hAnsi="仿宋_GB2312" w:eastAsia="仿宋_GB2312"/>
          <w:b w:val="0"/>
          <w:color w:val="000000"/>
          <w:sz w:val="32"/>
        </w:rPr>
        <w:t>公司财务数据未完整公开。据公开资料，2022年销售收入20.24亿元、总资产35.85亿元，据此估算资产规模较大；公司属传统氮肥与工业气体企业，盈利受尿素、合成氨价格周期影响。</w:t>
      </w:r>
    </w:p>
    <w:p>
      <w:pPr>
        <w:spacing w:lineRule="exact" w:line="600" w:before="120" w:after="120"/>
        <w:ind w:firstLine="420"/>
        <w:jc w:val="left"/>
      </w:pPr>
      <w:r>
        <w:rPr>
          <w:rFonts w:ascii="楷体_GB2312" w:hAnsi="楷体_GB2312" w:eastAsia="楷体_GB2312"/>
          <w:b w:val="0"/>
          <w:color w:val="000000"/>
          <w:sz w:val="32"/>
        </w:rPr>
        <w:t>（三）负债与偿债</w:t>
      </w:r>
    </w:p>
    <w:p>
      <w:pPr>
        <w:spacing w:lineRule="exact" w:line="600" w:before="0" w:after="0"/>
        <w:ind w:firstLine="420"/>
        <w:jc w:val="both"/>
      </w:pPr>
      <w:r>
        <w:rPr>
          <w:rFonts w:ascii="仿宋_GB2312" w:hAnsi="仿宋_GB2312" w:eastAsia="仿宋_GB2312"/>
          <w:b w:val="0"/>
          <w:color w:val="000000"/>
          <w:sz w:val="32"/>
        </w:rPr>
        <w:t>公司财务数据未公开披露，资产负债率、有息负债等关键偿债指标无法获取。国开发展基金参股提供一定资本支持。</w:t>
      </w:r>
    </w:p>
    <w:p>
      <w:pPr>
        <w:spacing w:lineRule="exact" w:line="600" w:before="120" w:after="120"/>
        <w:ind w:firstLine="420"/>
        <w:jc w:val="left"/>
      </w:pPr>
      <w:r>
        <w:rPr>
          <w:rFonts w:ascii="楷体_GB2312" w:hAnsi="楷体_GB2312" w:eastAsia="楷体_GB2312"/>
          <w:b w:val="0"/>
          <w:color w:val="000000"/>
          <w:sz w:val="32"/>
        </w:rPr>
        <w:t>（四）关键指标对标</w:t>
      </w:r>
    </w:p>
    <w:p>
      <w:pPr>
        <w:spacing w:lineRule="exact" w:line="600" w:before="0" w:after="0"/>
        <w:ind w:firstLine="420"/>
        <w:jc w:val="both"/>
      </w:pPr>
      <w:r>
        <w:rPr>
          <w:rFonts w:ascii="仿宋_GB2312" w:hAnsi="仿宋_GB2312" w:eastAsia="仿宋_GB2312"/>
          <w:b w:val="0"/>
          <w:color w:val="000000"/>
          <w:sz w:val="32"/>
        </w:rPr>
        <w:t>在氮肥及合成氨领域，公司可比上市公司包括华鲁恒升、阳煤化工等，但财务口径不可直接对标。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公司为其他有限责任公司，设董事会（董事长兼总经理刘文举）、监事会及经营管理层。控股股东山东晋控明水化工集团派出董事，国开发展基金作为财务投资人参与治理。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公司核心管理层具有氮肥、煤化工行业经验，总经理牛玉辉等负责生产经营决策。</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作为危化品生产与肥料生产企业，公司须严格执行安全生产、环保、危化品经营等合规要求，建有泰安市企业技术中心、产业技术研究院等研发与质控平台。</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公司员工500余人，参保约392—415人，是当地重要的劳动用工与农资保障企业。</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洁净煤气化技术壁垒：新型洁净煤气化实现"一头多尾"，资源综合利用效率高，2024年获国家级合成氨能耗对标标杆。二是园区气体供应壁垒：年供园区1.5亿方氢气、5,000万方一氧化碳等，是园区产业链关键气源企业，协同粘性高。三是规模与资质壁垒：年产40万吨合成氨、60万吨尿素，国家级高新技术企业、泰安市高端化工产业链副会长单位。四是存量与土地资源：占地1,000余亩，资产规模较大，具备扩产与延伸空间。</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尿素、合成氨价格受农业周期、煤炭成本与宏观经济影响波动明显，盈利存在周期性。</w:t>
      </w:r>
    </w:p>
    <w:p>
      <w:pPr>
        <w:spacing w:lineRule="exact" w:line="600" w:before="120" w:after="120"/>
        <w:ind w:firstLine="420"/>
        <w:jc w:val="left"/>
      </w:pPr>
      <w:r>
        <w:rPr>
          <w:rFonts w:ascii="楷体_GB2312" w:hAnsi="楷体_GB2312" w:eastAsia="楷体_GB2312"/>
          <w:b w:val="0"/>
          <w:color w:val="000000"/>
          <w:sz w:val="32"/>
        </w:rPr>
        <w:t>（二）政策与环保风险</w:t>
      </w:r>
    </w:p>
    <w:p>
      <w:pPr>
        <w:spacing w:lineRule="exact" w:line="600" w:before="0" w:after="0"/>
        <w:ind w:firstLine="420"/>
        <w:jc w:val="both"/>
      </w:pPr>
      <w:r>
        <w:rPr>
          <w:rFonts w:ascii="仿宋_GB2312" w:hAnsi="仿宋_GB2312" w:eastAsia="仿宋_GB2312"/>
          <w:b w:val="0"/>
          <w:color w:val="000000"/>
          <w:sz w:val="32"/>
        </w:rPr>
        <w:t>氮肥属能耗与排放重点管控行业，"双碳"与环保政策趋严，合规与技改投入持续增加。</w:t>
      </w:r>
    </w:p>
    <w:p>
      <w:pPr>
        <w:spacing w:lineRule="exact" w:line="600" w:before="120" w:after="120"/>
        <w:ind w:firstLine="420"/>
        <w:jc w:val="left"/>
      </w:pPr>
      <w:r>
        <w:rPr>
          <w:rFonts w:ascii="楷体_GB2312" w:hAnsi="楷体_GB2312" w:eastAsia="楷体_GB2312"/>
          <w:b w:val="0"/>
          <w:color w:val="000000"/>
          <w:sz w:val="32"/>
        </w:rPr>
        <w:t>（三）财务与转型风险</w:t>
      </w:r>
    </w:p>
    <w:p>
      <w:pPr>
        <w:spacing w:lineRule="exact" w:line="600" w:before="0" w:after="0"/>
        <w:ind w:firstLine="420"/>
        <w:jc w:val="both"/>
      </w:pPr>
      <w:r>
        <w:rPr>
          <w:rFonts w:ascii="仿宋_GB2312" w:hAnsi="仿宋_GB2312" w:eastAsia="仿宋_GB2312"/>
          <w:b w:val="0"/>
          <w:color w:val="000000"/>
          <w:sz w:val="32"/>
        </w:rPr>
        <w:t>公司财务未完整公开，外部难以评估真实偿债；向高分子材料产业园转型需大额资本开支，存在投资与资金风险。</w:t>
      </w:r>
    </w:p>
    <w:p>
      <w:pPr>
        <w:spacing w:lineRule="exact" w:line="600" w:before="120" w:after="120"/>
        <w:ind w:firstLine="420"/>
        <w:jc w:val="left"/>
      </w:pPr>
      <w:r>
        <w:rPr>
          <w:rFonts w:ascii="楷体_GB2312" w:hAnsi="楷体_GB2312" w:eastAsia="楷体_GB2312"/>
          <w:b w:val="0"/>
          <w:color w:val="000000"/>
          <w:sz w:val="32"/>
        </w:rPr>
        <w:t>（四）应对措施</w:t>
      </w:r>
    </w:p>
    <w:p>
      <w:pPr>
        <w:spacing w:lineRule="exact" w:line="600" w:before="0" w:after="0"/>
        <w:ind w:firstLine="420"/>
        <w:jc w:val="both"/>
      </w:pPr>
      <w:r>
        <w:rPr>
          <w:rFonts w:ascii="仿宋_GB2312" w:hAnsi="仿宋_GB2312" w:eastAsia="仿宋_GB2312"/>
          <w:b w:val="0"/>
          <w:color w:val="000000"/>
          <w:sz w:val="32"/>
        </w:rPr>
        <w:t>公司通过延伸下游高分子材料、医药中间体提升附加值；推进数字化转型与智能制造；发挥园区气体协同优势稳定需求。</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公司上游为烟煤供应商，可在原料采购环节通过供应链金融平台提供预付/采购融资，稳定煤炭供应。</w:t>
      </w:r>
    </w:p>
    <w:p>
      <w:pPr>
        <w:spacing w:lineRule="exact" w:line="600" w:before="120" w:after="120"/>
        <w:ind w:firstLine="420"/>
        <w:jc w:val="left"/>
      </w:pPr>
      <w:r>
        <w:rPr>
          <w:rFonts w:ascii="楷体_GB2312" w:hAnsi="楷体_GB2312" w:eastAsia="楷体_GB2312"/>
          <w:b w:val="0"/>
          <w:color w:val="000000"/>
          <w:sz w:val="32"/>
        </w:rPr>
        <w:t>（二）融资租赁</w:t>
      </w:r>
    </w:p>
    <w:p>
      <w:pPr>
        <w:spacing w:lineRule="exact" w:line="600" w:before="0" w:after="0"/>
        <w:ind w:firstLine="420"/>
        <w:jc w:val="both"/>
      </w:pPr>
      <w:r>
        <w:rPr>
          <w:rFonts w:ascii="仿宋_GB2312" w:hAnsi="仿宋_GB2312" w:eastAsia="仿宋_GB2312"/>
          <w:b w:val="0"/>
          <w:color w:val="000000"/>
          <w:sz w:val="32"/>
        </w:rPr>
        <w:t>公司高分子材料产业园及技改装置建设可通过融资租赁获取设备，缓解资本开支压力。</w:t>
      </w:r>
    </w:p>
    <w:p>
      <w:pPr>
        <w:spacing w:lineRule="exact" w:line="600" w:before="120" w:after="120"/>
        <w:ind w:firstLine="420"/>
        <w:jc w:val="left"/>
      </w:pPr>
      <w:r>
        <w:rPr>
          <w:rFonts w:ascii="楷体_GB2312" w:hAnsi="楷体_GB2312" w:eastAsia="楷体_GB2312"/>
          <w:b w:val="0"/>
          <w:color w:val="000000"/>
          <w:sz w:val="32"/>
        </w:rPr>
        <w:t>（三）保理业务</w:t>
      </w:r>
    </w:p>
    <w:p>
      <w:pPr>
        <w:spacing w:lineRule="exact" w:line="600" w:before="0" w:after="0"/>
        <w:ind w:firstLine="420"/>
        <w:jc w:val="both"/>
      </w:pPr>
      <w:r>
        <w:rPr>
          <w:rFonts w:ascii="仿宋_GB2312" w:hAnsi="仿宋_GB2312" w:eastAsia="仿宋_GB2312"/>
          <w:b w:val="0"/>
          <w:color w:val="000000"/>
          <w:sz w:val="32"/>
        </w:rPr>
        <w:t>公司对农资经销商及园区下游企业存在应收账款，可开展保理业务盘活资金。</w:t>
      </w:r>
    </w:p>
    <w:p>
      <w:pPr>
        <w:spacing w:lineRule="exact" w:line="600" w:before="120" w:after="120"/>
        <w:ind w:firstLine="420"/>
        <w:jc w:val="left"/>
      </w:pPr>
      <w:r>
        <w:rPr>
          <w:rFonts w:ascii="楷体_GB2312" w:hAnsi="楷体_GB2312" w:eastAsia="楷体_GB2312"/>
          <w:b w:val="0"/>
          <w:color w:val="000000"/>
          <w:sz w:val="32"/>
        </w:rPr>
        <w:t>（四）小贷与项目融资</w:t>
      </w:r>
    </w:p>
    <w:p>
      <w:pPr>
        <w:spacing w:lineRule="exact" w:line="600" w:before="0" w:after="0"/>
        <w:ind w:firstLine="420"/>
        <w:jc w:val="both"/>
      </w:pPr>
      <w:r>
        <w:rPr>
          <w:rFonts w:ascii="仿宋_GB2312" w:hAnsi="仿宋_GB2312" w:eastAsia="仿宋_GB2312"/>
          <w:b w:val="0"/>
          <w:color w:val="000000"/>
          <w:sz w:val="32"/>
        </w:rPr>
        <w:t>针对转型与扩产资金需求，可通过小贷、项目贷款及产业基金组合支持，配套资产与应收账款风控。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晋煤明升达化工有限公司是宁阳县高端化工产业集群的重要骨干企业，依托洁净煤气化"一头多尾"体系与园区气体供应核心地位，具备较强的产业链协同与资源综合利用优势，并由单一氮肥向高端材料转型。</w:t>
      </w:r>
    </w:p>
    <w:p>
      <w:pPr>
        <w:spacing w:lineRule="exact" w:line="600" w:before="0" w:after="0"/>
        <w:ind w:firstLine="420"/>
        <w:jc w:val="both"/>
      </w:pPr>
      <w:r>
        <w:rPr>
          <w:rFonts w:ascii="仿宋_GB2312" w:hAnsi="仿宋_GB2312" w:eastAsia="仿宋_GB2312"/>
          <w:b w:val="0"/>
          <w:color w:val="000000"/>
          <w:sz w:val="32"/>
        </w:rPr>
        <w:t>发展展望：随着明升达高分子材料产业园建设及下游延伸，公司有望实现从基础氮肥向工业气体、高端材料、资源利用的综合升级，规划营收向50亿元突破。</w:t>
      </w:r>
    </w:p>
    <w:p>
      <w:pPr>
        <w:spacing w:lineRule="exact" w:line="600" w:before="0" w:after="0"/>
        <w:ind w:firstLine="420"/>
        <w:jc w:val="both"/>
      </w:pPr>
      <w:r>
        <w:rPr>
          <w:rFonts w:ascii="仿宋_GB2312" w:hAnsi="仿宋_GB2312" w:eastAsia="仿宋_GB2312"/>
          <w:b w:val="0"/>
          <w:color w:val="000000"/>
          <w:sz w:val="32"/>
        </w:rPr>
        <w:t>建议：一是加快财务规范化与信息披露；二是借助山东投资供应链金融、融资租赁支持高分子材料产业园建设；三是强化"双碳"合规与数字化转型，巩固能耗标杆优势；四是优化产品结构，降低对单一氮肥的周期依赖。</w:t>
      </w:r>
    </w:p>
    <w:p>
      <w:pPr>
        <w:spacing w:lineRule="exact" w:line="600" w:before="0" w:after="0"/>
        <w:jc w:val="left"/>
      </w:pPr>
      <w:r>
        <w:rPr>
          <w:rFonts w:ascii="仿宋_GB2312" w:hAnsi="仿宋_GB2312" w:eastAsia="仿宋_GB2312"/>
          <w:b w:val="0"/>
          <w:color w:val="000000"/>
          <w:sz w:val="28"/>
        </w:rPr>
        <w:t>数据来源说明：本报告的工商信息来源于国家企业信用信息公示系统、天眼查/爱企查/企查查；产能与经营数据来源于行业公开资料及公开报道；财务数据因非上市企业未公开披露，已如实标注。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