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宁阳县高端装备制造特色产业集群</w:t>
      </w:r>
    </w:p>
    <w:p>
      <w:pPr>
        <w:spacing w:lineRule="exact" w:line="600" w:before="240" w:after="240"/>
        <w:ind w:firstLine="0"/>
        <w:jc w:val="center"/>
      </w:pPr>
      <w:r>
        <w:rPr>
          <w:rFonts w:ascii="方正小标宋简体" w:hAnsi="方正小标宋简体" w:eastAsia="方正小标宋简体"/>
          <w:b w:val="0"/>
          <w:color w:val="000000"/>
          <w:sz w:val="44"/>
        </w:rPr>
        <w:t>力博重工科技股份有限公司企业分析报告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企查查、力博重工官网、公司参与制定的国家标准及公开媒体资料。统计时点截至2025—2026年公开披露信息。该公司为非上市股份有限公司，财务数据未公开披露，已在相关章节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力博重工科技股份有限公司（曾用名：泰安力博机电科技有限公司）成立于2005年4月14日，法定代表人为周满山，统一社会信用代码为9137090077319672XT，企业类型为其他股份有限公司（非上市）。公司注册资本为14952.153万元人民币，实缴资本14952.153万元。注册地址位于山东省泰安市高新区北天门大街西段（山东矿业管理集团西900米），登记机关为泰安市市场监督管理局，经营状态为存续（开业）。公司网址为https://www.libokj.com。</w:t>
      </w:r>
    </w:p>
    <w:p>
      <w:pPr>
        <w:spacing w:lineRule="exact" w:line="600" w:before="0" w:after="0"/>
        <w:ind w:firstLine="420"/>
        <w:jc w:val="both"/>
      </w:pPr>
      <w:r>
        <w:rPr>
          <w:rFonts w:ascii="仿宋_GB2312" w:hAnsi="仿宋_GB2312" w:eastAsia="仿宋_GB2312"/>
          <w:b w:val="0"/>
          <w:color w:val="000000"/>
          <w:sz w:val="32"/>
        </w:rPr>
        <w:t>公司主营散状物料输送高端装备的研发、制造及EPC总承包，属于专用设备制造业。经营范围涵盖技术服务与开发、智能物料搬运装备销售、物料搬运装备制造、矿山机械制造与销售、配电开关控制设备制造、金属结构制造与销售、除尘技术装备制造、智能控制系统集成、工业自动控制系统装置制造、对外承包工程，以及货物与技术进出口、道路货物运输等。</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股权结构较为集中，主要股东包括：周满山持股约41.39%、张媛持股约39.72%、浙江支汇股权投资合伙企业（有限合伙）持股约14.30%，其余为若干自然人小股东。周满山、张媛为一致行动人，系公司实际控制人。公司下设多家全资及控股子公司，包括深圳市力博重工科技有限责任公司（100%）、力博工业技术研究院（山东）有限公司（100%）、泰安英迪利机电科技有限公司（100%）、山东博研粉体技术装备有限公司（80%）等，并通过参股方式布局港口物流与矿业运营（如唐山港祥物流有限公司持股30%、武穴市城投长江矿业有限责任公司持股51%等）。</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公司2005年由周满山博士创立，长期专注于长距离越野曲线带式输送机理论与工程应用。创始人周满山参与编制了三项带式输送机领域主要国家标准：《带式输送机》GB/T 10595-2017、《带式输送机工程技术标准》GB 50431-2020、《带式输送机设计计算方法》GB/T 36698-2018。公司成立法人机构"力博工业技术研究院（山东）有限公司"，聘请中国科学院、中国工程院三位院士及多所高校专家组成专家委员会，吸纳260余人成立企业技术委员会。截至公开披露，公司已设计、制造或总承包高难度带式输送机项目300余项，并为华能集团、国家能源集团、山东能源集团、淮南矿业集团、中建材集团等国内客户，以及POSCO、MITSUI、Formosa等20多个国外用户提供EPC总包服务，业务覆盖"一带一路"沿线。</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产、学、研、服"一体化的散料输送高端装备供应商，为客户提供从输送设备到智能化全套解决方案，从装备制造到长距离输送廊道EPC工程总包、散料输送生产运营管理。主导产品包括：长距离越野型曲线带式输送机（含管带机）、永磁电机、粘液软启动装置、盘式制动器、大型逆止器、断带抓捕器、蛇簧联轴器、托辊、滚筒、缓冲床、清扫器等核心部件，以及带式输送走廊EPC总承包与散料输送运营服务。</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由三部分构成：一是带式输送高端装备及核心零部件制造与销售；二是长距离输送廊道EPC工程总承包；三是散料输送系统运营服务。受非上市属性影响，分产品收入占比未公开披露，但公开资料显示EPC总承包与智能化解决方案已成为重要增长方向。</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为各类高难度带式输送机：长距离越野弯曲带式输送机、大倾角上（下）运带式输送机、线摩擦多点驱动带式输送机、管状带式输送机等；核心零部件包括永磁直驱电机、KPZ自冷盘式制动装置、YNRQD系列液体粘性软起动装置、ZYJ系列液压自动拉紧装置、高寿命高密封托辊、滚筒、皮带清扫器、缓冲床、逆止器、蛇簧联轴器、带式给料机及输送机综合保护装置等。</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下游客户集中于大型能源、矿山、建材及港口企业，包括华能集团、国家能源集团、山东能源集团、淮南矿业集团、中建材集团等国内龙头企业，以及POSCO（韩国浦项）、MITSUI（日本三井）、Formosa（台湾台塑）等国际知名企业，客户资质优良、合作稳定。</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生产所需主要原材料为钢材、电机、轴承、橡胶及电气元件等。作为装备制造企业，其采购以钢材及通用机电配套件为主，供应链相对成熟。公开资料未披露前五大供应商具体名称，但公司具备从核心零部件（永磁电机、制动装置、托辊）到整机总成的垂直制造能力，关键部件自产比例较高。</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带式输送机设计、制造及EPC总承包综合能力，具备矿山机械制造、对外承包工程等资质，并通过ISO等质量体系认证（公开资料未列明具体证书编号）。公司拥有"LBHI"等注册商标及多项发明专利、软件著作权（含节能型带式输送机故障诊断软件、轮轨型带式输送机巡检机器人控制软件等）。注册地址位于泰安高新区，生产用地满足其装备总装与试验需求。</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公司采取"研发设计+装备制造+工程总包"的一体化经营模式，既销售单机与成套装备，也承接整线EPC。销售网络以国内大型工矿企业直供为主，并依托"一带一路"拓展海外市场，为国际客户提供EPC总包服务。</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股份有限公司，近三年财务数据未公开披露。公开资料显示公司累计完成高难度带式输送机项目300余项，服务国内外大型客户，在长距离越野曲线带式输送机细分领域具有技术领先地位，但缺乏公开的市场占有率量化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力博重工科技股份有限公司为非上市股份有限公司，未公开发行股票，亦未强制披露经审计的年度财务报告，近三年营业收入、净利润、毛利率、资产负债率、经营活动现金流等关键财务指标均未公开披露。本段不作任何数字编造，相关财务分析以定性为主。</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由于缺乏公开财务数据，无法直接测算毛利率与净利率。从业务结构看，公司兼具高端装备制造与EPC工程总包属性，其中核心零部件自产与智能化系统具备一定溢价能力；EPC项目则受钢材价格波动与工程周期影响，盈利弹性较大。</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公司注册资本1.495亿元且已实缴，资产以生产设备、厂房、专利技术、软件著作权及在建工程为主。作为高新技术企业，其无形资产（专利、软著、商标）构成重要资产质量支撑。</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具体资产负债率未公开。公司参保人数约499人，经营存续状态正常，公开渠道未见重大债务违约或失信记录。</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经营性现金流数据未公开。公司承接EPC工程通常需垫资，对营运资金管理能力要求较高，回款节奏与下游大型国企客户信用状况相关。</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与同属散料输送装备领域的上市公司（如 conveyor 类企业）相比，力博重工在长距离越野曲线带式输送机这一细分赛道具备差异化技术优势，但非上市属性使其在融资规模与品牌曝光上弱于公众公司。</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其他股份有限公司（非上市），设有董事会、监事会及经营管理层。法定代表人、董事长兼总经理为周满山，董事包括张媛、张国亮、陈建明、高阳等，监事为刘锦山、刘见坤、黄军等，治理架构符合非上市股份公司规范。</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创始人周满山博士（教授）为行业技术权威，创建了长距离越野空间转弯带式输送机的理论体系，并主导多项国家标准制定，是公司技术与战略核心。管理层兼具学术背景与产业经验。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公司通过力博工业技术研究院统筹研发，下设多家专业化子公司分工制造与工程实施，形成"研究院+制造基地+工程公司"的协同体系。内控方面以质量体系与项目管理制度为基础。</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参保人数约499人，人员规模400—499人。公司建有企业技术委员会（260余人）及外部院士专家委员会，研发人员占比高，并有一名青年科技人才入选山东省青年科技人才托举工程，人才梯队以技术与工程人员为主。</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技术壁垒：创始人主导三项带式输送机国家标准制定，在长距离越野曲线、大倾角、管状带式输送机领域理论沉淀深厚，拥有多项发明专利与软著；第二，核心零部件自产：永磁电机、盘式制动、液压拉紧等关键部件自主制造，保障性能与交付；第三，EPC总包能力：可提供"设计—制造—廊道工程—运营"全链条服务，客户黏性强；第四，高端客户与品牌：服务国家能源、华能、山能等央企及POSCO等国际客户，项目业绩300余项，形成口碑护城河；第五，研发平台：院士专家委员会+工业技术研究院，持续创新机制完善。</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公司下游高度依赖煤炭、矿山、建材、电力等周期性行业，若宏观经济或基建投资下行，将直接影响输送装备与EPC需求。</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EPC工程存在项目周期长、垫资与回款风险；钢材等原材料价格波动会挤压毛利。公开资料显示公司曾涉及若干建设工程合同纠纷案件，属工程类企业常见风险。</w:t>
      </w:r>
    </w:p>
    <w:p>
      <w:pPr>
        <w:spacing w:lineRule="exact" w:line="600" w:before="120" w:after="120"/>
        <w:ind w:firstLine="420"/>
        <w:jc w:val="left"/>
      </w:pPr>
      <w:r>
        <w:rPr>
          <w:rFonts w:ascii="楷体_GB2312" w:hAnsi="楷体_GB2312" w:eastAsia="楷体_GB2312"/>
          <w:b w:val="0"/>
          <w:color w:val="000000"/>
          <w:sz w:val="32"/>
        </w:rPr>
        <w:t>（三）财务与合规风险</w:t>
      </w:r>
    </w:p>
    <w:p>
      <w:pPr>
        <w:spacing w:lineRule="exact" w:line="600" w:before="0" w:after="0"/>
        <w:ind w:firstLine="420"/>
        <w:jc w:val="both"/>
      </w:pPr>
      <w:r>
        <w:rPr>
          <w:rFonts w:ascii="仿宋_GB2312" w:hAnsi="仿宋_GB2312" w:eastAsia="仿宋_GB2312"/>
          <w:b w:val="0"/>
          <w:color w:val="000000"/>
          <w:sz w:val="32"/>
        </w:rPr>
        <w:t>非上市属性导致融资主要依赖银行信贷与股东投入，资本补充渠道有限；环保、安全生产及招投标合规要求趋严。</w:t>
      </w:r>
    </w:p>
    <w:p>
      <w:pPr>
        <w:spacing w:lineRule="exact" w:line="600" w:before="120" w:after="120"/>
        <w:ind w:firstLine="420"/>
        <w:jc w:val="left"/>
      </w:pPr>
      <w:r>
        <w:rPr>
          <w:rFonts w:ascii="楷体_GB2312" w:hAnsi="楷体_GB2312" w:eastAsia="楷体_GB2312"/>
          <w:b w:val="0"/>
          <w:color w:val="000000"/>
          <w:sz w:val="32"/>
        </w:rPr>
        <w:t>（四）企业现有应对措施</w:t>
      </w:r>
    </w:p>
    <w:p>
      <w:pPr>
        <w:spacing w:lineRule="exact" w:line="600" w:before="0" w:after="0"/>
        <w:ind w:firstLine="420"/>
        <w:jc w:val="both"/>
      </w:pPr>
      <w:r>
        <w:rPr>
          <w:rFonts w:ascii="仿宋_GB2312" w:hAnsi="仿宋_GB2312" w:eastAsia="仿宋_GB2312"/>
          <w:b w:val="0"/>
          <w:color w:val="000000"/>
          <w:sz w:val="32"/>
        </w:rPr>
        <w:t>公司通过拓展永磁节能、智能巡检机器人等新产品降低对传统业务的依赖；以核心技术自产提升毛利；以"一带一路"海外EPC分散单一市场风险；以院士专家委员会持续强化技术领先。</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（一）保理业务</w:t>
      </w:r>
    </w:p>
    <w:p>
      <w:pPr>
        <w:spacing w:lineRule="exact" w:line="600" w:before="0" w:after="0"/>
        <w:ind w:firstLine="420"/>
        <w:jc w:val="both"/>
      </w:pPr>
      <w:r>
        <w:rPr>
          <w:rFonts w:ascii="仿宋_GB2312" w:hAnsi="仿宋_GB2312" w:eastAsia="仿宋_GB2312"/>
          <w:b w:val="0"/>
          <w:color w:val="000000"/>
          <w:sz w:val="32"/>
        </w:rPr>
        <w:t>公司对国家能源、华能等央企及大型国企的应收账款账期较长，可探索应收账款保理，盘活营运资金。</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公司核心零部件自产且上游为钢材、机电配套供应商，可围绕真实贸易背景开展供应链金融业务，缓解采购资金压力。</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对大型EPC项目中需自购的特种设备、试验装置，可考虑融资租赁以优化资产负债表、减少初期资本开支。</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公司作为非上市企业银行授信相对受限，若遇阶段性流动资金缺口，可对接小额贷款等普惠金融工具作为补充。</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力博重工是泰安市宁阳县高端装备制造集群的骨干企业，在长距离越野曲线带式输送机细分领域技术领先、业绩扎实，具备"专精特新"特质与国际化拓展能力。综合评价：技术护城河清晰、客户结构优质，但非上市带来的资本与品牌短板、以及下游强周期属性是其主要制约。</w:t>
      </w:r>
    </w:p>
    <w:p>
      <w:pPr>
        <w:spacing w:lineRule="exact" w:line="600" w:before="0" w:after="0"/>
        <w:ind w:firstLine="420"/>
        <w:jc w:val="both"/>
      </w:pPr>
      <w:r>
        <w:rPr>
          <w:rFonts w:ascii="仿宋_GB2312" w:hAnsi="仿宋_GB2312" w:eastAsia="仿宋_GB2312"/>
          <w:b w:val="0"/>
          <w:color w:val="000000"/>
          <w:sz w:val="32"/>
        </w:rPr>
        <w:t>发展展望：在"节能减碳"与智能矿山建设背景下，节能型带式输送系统、永磁直驱、智能巡检等需求增长可期；公司应把握"一带一路"与国内大型能源基地建设机遇，扩大EPC与运营服务占比。</w:t>
      </w:r>
    </w:p>
    <w:p>
      <w:pPr>
        <w:spacing w:lineRule="exact" w:line="600" w:before="0" w:after="0"/>
        <w:ind w:firstLine="420"/>
        <w:jc w:val="both"/>
      </w:pPr>
      <w:r>
        <w:rPr>
          <w:rFonts w:ascii="仿宋_GB2312" w:hAnsi="仿宋_GB2312" w:eastAsia="仿宋_GB2312"/>
          <w:b w:val="0"/>
          <w:color w:val="000000"/>
          <w:sz w:val="32"/>
        </w:rPr>
        <w:t>建议：一是推动规范化股份制改造并择机对接资本市场，拓宽融资渠道；二是加强财务信息披露与信用评级，便于金融机构授信；三是与山东省属投资平台（如山东投资）在保理、供应链金融、融资租赁方面建立合作，支撑其EPC业务扩张；四是布局海外项目风险对冲与汇率管理。</w:t>
      </w:r>
    </w:p>
    <w:p>
      <w:pPr>
        <w:spacing w:lineRule="exact" w:line="600" w:before="0" w:after="0"/>
        <w:jc w:val="left"/>
      </w:pPr>
      <w:r>
        <w:rPr>
          <w:rFonts w:ascii="仿宋_GB2312" w:hAnsi="仿宋_GB2312" w:eastAsia="仿宋_GB2312"/>
          <w:b w:val="0"/>
          <w:color w:val="000000"/>
          <w:sz w:val="28"/>
        </w:rPr>
        <w:t>数据来源说明：本报告的工商与股权信息来源于国家企业信用信息公示系统、天眼查、企查查；业务与技术信息来源于力博重工官网（libokj.com）、公司参与编制的国家标准公开文本及公开媒体报道；财务数据因公司非上市未公开，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