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宁阳县高端装备制造特色产业集群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山东塔高矿业机械装备制造有限公司企业分析报告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（本报告数据来源于国家企业信用信息公示系统、天眼查、360百科、企知道及公开资料。统计时点截至2025—2026年公开披露信息。公司为非上市中外合资企业，财务数据未公开披露，已如实标注。）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塔高矿业机械装备制造有限公司成立于2007年5月25日，法定代表人为袁晓波，统一社会信用代码为9137090066197745XF，企业类型为有限责任公司（中外合资）。公司注册资本为400万欧元，注册地址位于山东宁阳工业园（磁窑镇），登记机关为宁阳县市场监督管理局，经营状态为存续（开业），营业期限至2057年5月24日。公司主营矿业机械装备设计、制造、销售及售后维修服务。</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公司由新汶矿业山东能源机械集团有限公司（原山东泰山建能机械集团有限公司）与波兰柯派克斯股份有限公司（Kopex S.A.）共同投资组建，系山东能源集团成员企业。股权穿透显示公司所属集团为山东能源集团。公司下设山东塔高矿业机械装备制造有限公司鲁南分公司等分支机构。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公司2007年由山东能源机械集团与波兰柯派克斯合资设立，引入欧洲煤矿机械技术，专注于煤矿用液压支架等矿业装备国产化与高端化。历经多年发展，成长为煤矿机械装备领域的高新技术与专精特新企业。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国有控股/中外合资的高端矿业装备制造商，是国家高新技术企业、省级专精特新企业。主营业务为矿业机械装备制造，核心产品包括煤矿用大型液压支架、液压油缸、液压支架支撑千斤顶、采煤机、焊接机器人、数控切割机、数控卧式铣镗床等，并提供矿业机械装备维修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公司业务以液压支架等煤矿综采装备及核心零部件制造销售为主，兼营装备维修服务。具体收入构成未公开披露。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核心产品为煤矿用大型液压支架、液压支架支撑千斤顶、液压油缸、采煤机、焊接机器人及数控加工设备（数控卧式铣镗床、数控切割机）等，并提供矿业机械售后维修服务。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下游客户主要为国有大型煤炭企业集团（如山东能源集团内部及外部煤企），客户信用资质优良但集中度高，受煤炭行业固定资产投资周期影响明显。</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主要采购钢材、液压元件、电控系统等，部分高端液压技术源自波兰合资方。作为山东能源集团成员，可依托集团集采体系降低采购成本。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公司拥有190件国内专利、2件商标、1项作品著作权、6项软件著作权，资质证书达126个，并通过国家安全生产标准化一级企业认证。具备煤矿装备制造所需的生产、安全与质量资质。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销售以面向大型煤企的直销与集团内部协同为主，依托山东能源集团产业链渠道，兼顾外部市场。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公司为非上市企业，财务数据未公开披露。公开资料显示员工人数曾达622人（2018年报），2024年参保约155人，但营业收入数据缺失，市场占有率亦无公开量化数据。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山东塔高矿业机械装备制造有限公司为非上市中外合资企业，未强制披露经审计年度财务报告，近三年营业收入、净利润、毛利率、资产负债率、经营活动现金流均未公开，本段不作编造。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煤矿液压支架等装备毛利率受钢材价格、产品大型化与智能化程度影响。公司依托山东能源集团背景，订单稳定性较好，但具体盈利指标未公开。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注册资本400万欧元且已实缴，资产以生产厂房、专用设备、专利与资质为主。126项资质证书与190件专利构成技术与准入壁垒。</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资产负债率未公开。作为山东能源集团成员企业，融资与信用背书较强。公开资料显示公司存在一定数量自身风险记录（约33—42条，含被执行人、合同纠纷等），需关注经营与履约风险。</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经营现金流数据未公开。装备制造企业存在原材料采购与大型订单回款占款，对营运资金有要求。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与郑煤机、ceed 等煤机上市企业相比，塔高在山东能源体系内具备协同优势，但规模与资本化程度上弱于龙头公众公司。</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公司为中外合资有限责任公司，设董事会与经营管理层，法定代表人袁晓波。作为山东能源集团成员，治理遵循国资与合资企业双重规范，重大事项按"三重一大"决策。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董事长/法定代表人袁晓波，管理层兼具中方产业经验与波方技术背景，保障合资技术转移与本地化运营。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公司设立党组织（曾获"省管企业先进基层党组织"），并建立安全生产标准化一级管理体系，内控以质量、安全、合规为核心。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参保人数约155人（2024年），历史峰值622人（2018年）。人员以装备制造技工、焊接与数控操作、研发人员为主。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股东与集团协同：背靠山东能源集团，订单与集采优势显著；第二，技术资质：国家高新技术企业、省级专精特新，190件专利、126项资质、安全生产标准化一级；第三，合资技术：引入波兰柯派克斯煤矿机械技术，液压支架等核心产品具备技术积累；第四，客户粘性：深度服务大型煤企，装备维修后市场稳定。</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下游煤炭行业受能源政策、安监与固定资产投资周期影响，若煤企资本开支放缓将抑制煤机需求。</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公开资料显示公司自身风险约33—42条，含被执行人记录、合同纠纷开庭公告等，提示存在一定履约与债务风险，需重点跟踪。</w:t>
      </w:r>
    </w:p>
    <w:p>
      <w:pPr>
        <w:spacing w:lineRule="exact" w:line="600" w:before="120" w:after="120"/>
        <w:ind w:firstLine="420"/>
        <w:jc w:val="left"/>
      </w:pPr>
      <w:r>
        <w:rPr>
          <w:rFonts w:ascii="楷体_GB2312" w:hAnsi="楷体_GB2312" w:eastAsia="楷体_GB2312"/>
          <w:b w:val="0"/>
          <w:color w:val="000000"/>
          <w:sz w:val="32"/>
        </w:rPr>
        <w:t>（三）财务与合规风险</w:t>
      </w:r>
    </w:p>
    <w:p>
      <w:pPr>
        <w:spacing w:lineRule="exact" w:line="600" w:before="0" w:after="0"/>
        <w:ind w:firstLine="420"/>
        <w:jc w:val="both"/>
      </w:pPr>
      <w:r>
        <w:rPr>
          <w:rFonts w:ascii="仿宋_GB2312" w:hAnsi="仿宋_GB2312" w:eastAsia="仿宋_GB2312"/>
          <w:b w:val="0"/>
          <w:color w:val="000000"/>
          <w:sz w:val="32"/>
        </w:rPr>
        <w:t>安全生产（煤矿装备涉及井下使用）及环保合规要求高；合资企业治理需兼顾中外股东利益。</w:t>
      </w:r>
    </w:p>
    <w:p>
      <w:pPr>
        <w:spacing w:lineRule="exact" w:line="600" w:before="120" w:after="120"/>
        <w:ind w:firstLine="420"/>
        <w:jc w:val="left"/>
      </w:pPr>
      <w:r>
        <w:rPr>
          <w:rFonts w:ascii="楷体_GB2312" w:hAnsi="楷体_GB2312" w:eastAsia="楷体_GB2312"/>
          <w:b w:val="0"/>
          <w:color w:val="000000"/>
          <w:sz w:val="32"/>
        </w:rPr>
        <w:t>（四）企业现有应对措施</w:t>
      </w:r>
    </w:p>
    <w:p>
      <w:pPr>
        <w:spacing w:lineRule="exact" w:line="600" w:before="0" w:after="0"/>
        <w:ind w:firstLine="420"/>
        <w:jc w:val="both"/>
      </w:pPr>
      <w:r>
        <w:rPr>
          <w:rFonts w:ascii="仿宋_GB2312" w:hAnsi="仿宋_GB2312" w:eastAsia="仿宋_GB2312"/>
          <w:b w:val="0"/>
          <w:color w:val="000000"/>
          <w:sz w:val="32"/>
        </w:rPr>
        <w:t>公司通过安全生产标准化一级认证强化安全管理；以专利技术提升产品竞争力；依托集团协同稳定订单。</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对大型煤企应收账款账期较长，可开展保理盘活资金。</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围绕钢材、液压元件采购，可开展供应链金融以缓解备货资金压力。</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数控加工、焊接机器人等设备投资可采用融资租赁，优化资本开支。</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集团内授信为主，小贷仅作补充。</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山东塔高矿业机械装备制造有限公司是宁阳县高端装备制造集群中具备国资与外资双重背景的煤机装备企业，技术资质扎实、集团协同突出。综合评价：技术与资质壁垒清晰，但经营风险记录较多、规模偏小是短板。</w:t>
      </w:r>
    </w:p>
    <w:p>
      <w:pPr>
        <w:spacing w:lineRule="exact" w:line="600" w:before="0" w:after="0"/>
        <w:ind w:firstLine="420"/>
        <w:jc w:val="both"/>
      </w:pPr>
      <w:r>
        <w:rPr>
          <w:rFonts w:ascii="仿宋_GB2312" w:hAnsi="仿宋_GB2312" w:eastAsia="仿宋_GB2312"/>
          <w:b w:val="0"/>
          <w:color w:val="000000"/>
          <w:sz w:val="32"/>
        </w:rPr>
        <w:t>发展展望：煤矿智能化、液压支架大型化与再制造后市场空间广阔，公司可借山东能源集团智能化矿山建设契机扩大份额。</w:t>
      </w:r>
    </w:p>
    <w:p>
      <w:pPr>
        <w:spacing w:lineRule="exact" w:line="600" w:before="0" w:after="0"/>
        <w:ind w:firstLine="420"/>
        <w:jc w:val="both"/>
      </w:pPr>
      <w:r>
        <w:rPr>
          <w:rFonts w:ascii="仿宋_GB2312" w:hAnsi="仿宋_GB2312" w:eastAsia="仿宋_GB2312"/>
          <w:b w:val="0"/>
          <w:color w:val="000000"/>
          <w:sz w:val="32"/>
        </w:rPr>
        <w:t>建议：一是规范财务披露与信用修复，降低自身风险记录影响；二是与山东投资在保理、融资租赁方面合作支撑设备升级；三是强化安全生产与合同履约管理；四是拓展非煤矿业装备以分散行业风险。</w:t>
      </w:r>
    </w:p>
    <w:p>
      <w:pPr>
        <w:spacing w:lineRule="exact" w:line="600" w:before="0" w:after="0"/>
        <w:jc w:val="left"/>
      </w:pPr>
      <w:r>
        <w:rPr>
          <w:rFonts w:ascii="仿宋_GB2312" w:hAnsi="仿宋_GB2312" w:eastAsia="仿宋_GB2312"/>
          <w:b w:val="0"/>
          <w:color w:val="000000"/>
          <w:sz w:val="28"/>
        </w:rPr>
        <w:t>数据来源说明：工商与股权信息来源于国家企业信用信息公示系统、天眼查；荣誉与技术信息来源于360百科、企知道及公开资料；财务数据因公司非上市未公开，已如实标注。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