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安丘市特高压输电装备特色产业集群</w:t>
      </w:r>
    </w:p>
    <w:p>
      <w:pPr>
        <w:spacing w:lineRule="exact" w:line="600" w:before="240" w:after="240"/>
        <w:ind w:firstLine="0"/>
        <w:jc w:val="center"/>
      </w:pPr>
      <w:r>
        <w:rPr>
          <w:rFonts w:ascii="方正小标宋简体" w:hAnsi="方正小标宋简体" w:eastAsia="方正小标宋简体"/>
          <w:b w:val="0"/>
          <w:color w:val="000000"/>
          <w:sz w:val="44"/>
        </w:rPr>
        <w:t>潍坊五洲鼎益铁塔有限公司企业分析报告</w:t>
      </w:r>
    </w:p>
    <w:p>
      <w:pPr>
        <w:spacing w:lineRule="exact" w:line="600" w:before="0" w:after="0"/>
        <w:jc w:val="left"/>
      </w:pPr>
      <w:r>
        <w:rPr>
          <w:rFonts w:ascii="仿宋_GB2312" w:hAnsi="仿宋_GB2312" w:eastAsia="仿宋_GB2312"/>
          <w:b w:val="0"/>
          <w:color w:val="000000"/>
          <w:sz w:val="28"/>
        </w:rPr>
        <w:t>（本报告数据来源于公司年报/半年报、交易所及港交所公告、巨潮资讯网、东方财富、天眼查/爱企查/企查查、公司官网及权威媒体等公开渠道，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潍坊五洲鼎益铁塔有限公司成立于2007年12月5日，法定代表人李志刚，统一社会信用代码91370784669332728N，企业类型为有限责任公司（自然人投资或控股的法人独资），注册资本10,600万元，注册地址位于山东省安丘市青龙湖西路19号，登记机关为安丘市市场监督管理局，经营状态为存续。员工约600人。</w:t>
      </w:r>
    </w:p>
    <w:p>
      <w:pPr>
        <w:spacing w:lineRule="exact" w:line="600" w:before="0" w:after="0"/>
        <w:ind w:firstLine="420"/>
        <w:jc w:val="both"/>
      </w:pPr>
      <w:r>
        <w:rPr>
          <w:rFonts w:ascii="仿宋_GB2312" w:hAnsi="仿宋_GB2312" w:eastAsia="仿宋_GB2312"/>
          <w:b w:val="0"/>
          <w:color w:val="000000"/>
          <w:sz w:val="32"/>
        </w:rPr>
        <w:t>股权结构：企业类型为自然人投资或控股的法人独资，实际控制人为法定代表人李志刚，属民营控股企业，无国有出资人。公司由潍坊长安铁塔股份有限公司与潍坊五洲风电设备有限公司整合重组、改制更名而来（原国网系统企业分离改制）。</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下设角钢塔分公司、塔筒车间等，拥有输电标准化委员会委员1人、中国钢结构协会塔桅钢结构分会理事1人，取得国网钢结构焊接技术指导委员会认证证书的焊接管理人员20人、Q460/Q345焊工证101人，其他各类专业技术人员121人；对外投资1家公司、设1处分支机构。</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2007年12月成立（由五洲风电改制更名）；2011年按山东电力集团公司批文完成与长安铁塔的整合重组、各自独立经营；2012年6月完成出让改制；2019年入选潍坊市智能制造标杆企业；近年实施智能工厂改造，自主研发ERP和MES系统，研制周期缩短20%、运营成本降10%、能源利用率提15%、生产效率提10%；布局风电塔架与新能源赛道，2025年利润同比增长58.5%。</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专业生产电力铁塔、风力发电塔架、广播通信铁塔及桅杆、钢结构、光伏支架的厂家，安丘特高压输电装备特色产业集群骨干企业、国家电网认可的30家特高压钢管塔生产厂家之一。主营业务为电力铁塔及器材、风力发电塔架、钢结构、法兰、机械配件等制造销售，以及热镀锌处理、金属制品工程设计服务、货物进出口。</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电力铁塔（角钢塔、钢管塔、变电构架）为核心，并向风力发电塔架（3000kW及以下）、通信塔、钢结构、光伏支架延伸，形成"电网+新能源"双轮结构。公司未公开披露分产品收入占比；新能源布局成效显著，2025年利润同比增长58.5%。</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导产品：1000kV及以下电力铁塔、3000kW及以下风力发电塔架、广播电视塔、通讯塔、薄壁离心杆、电气化铁路构架等镀锌钢结构，以及光伏支架；具备年生产能力约23,000吨（角钢塔10,000吨、钢管组合塔6,000吨、多边形钢管塔7,000吨）。</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客户以国家电网、南方电网等电网公司为主，具备国网10kV—750kV角钢塔、钢管塔、变电构架资质业绩核实证明；同时拓展风电（3000kW塔架成熟能力）、通信、光伏等新能源与基建客户。</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生产所需钢材、锌锭、能源为主要采购对象，原料价格随钢铁与有色行情波动；拥有产品进出口权，部分设备与原料可国际采购。</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占地总面积550亩，厂房7万余平方米，员工600余人；拥有1100kV输电线路铁塔生产许可证、通信塔生产许可证、钢结构工程专业承包叁级资质，通过质量、环境、职业健康安全管理体系认证及国家电网供应商资质现场审核；取得国网10kV—750kV角钢塔、钢管塔、变电构架资质业绩核实证明，具备1000kV铁塔生产能力和业绩；为《输电线路钢管塔用法兰》《风电机组筒形塔制造技术条件》等标准的主要参编单位。</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以国家电网/南方电网集中招标直销为主，参与特高压与新能源工程投标；通过ERP/MES系统实现数字化营销与供应链协同；具备进出口权拓展海外。</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是国家电网认可30家特高压钢管塔生产厂家之一，具备1000kV铁塔业绩；在安丘特高压集群（年产量81.43万吨、国内占比27.38%）中占据重要份额。具体营收、利润未公开披露（非上市），但新能源布局推动2025年利润同比增长58.5%。</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潍坊五洲鼎益铁塔为非上市民营企业，近三年财务报表未公开披露；以下列公开工商与资质信息，不作财务数据编造。</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指标</w:t>
            </w:r>
          </w:p>
        </w:tc>
        <w:tc>
          <w:tcPr>
            <w:tcW w:type="dxa" w:w="6236"/>
          </w:tcPr>
          <w:p>
            <w:pPr>
              <w:spacing w:lineRule="exact" w:line="600"/>
              <w:jc w:val="center"/>
            </w:pPr>
            <w:r/>
            <w:r>
              <w:rPr>
                <w:rFonts w:ascii="黑体" w:hAnsi="黑体" w:eastAsia="黑体"/>
                <w:b/>
                <w:color w:val="000000"/>
                <w:sz w:val="32"/>
              </w:rPr>
              <w:t>公开披露值</w:t>
            </w:r>
          </w:p>
        </w:tc>
      </w:tr>
      <w:tr>
        <w:tc>
          <w:tcPr>
            <w:tcW w:type="dxa" w:w="2551"/>
          </w:tcPr>
          <w:p>
            <w:pPr>
              <w:spacing w:lineRule="exact" w:line="600"/>
              <w:jc w:val="center"/>
            </w:pPr>
            <w:r/>
            <w:r>
              <w:rPr>
                <w:rFonts w:ascii="仿宋_GB2312" w:hAnsi="仿宋_GB2312" w:eastAsia="仿宋_GB2312"/>
                <w:b w:val="0"/>
                <w:color w:val="000000"/>
                <w:sz w:val="32"/>
              </w:rPr>
              <w:t>注册资本</w:t>
            </w:r>
          </w:p>
        </w:tc>
        <w:tc>
          <w:tcPr>
            <w:tcW w:type="dxa" w:w="6236"/>
          </w:tcPr>
          <w:p>
            <w:pPr>
              <w:spacing w:lineRule="exact" w:line="600"/>
              <w:jc w:val="center"/>
            </w:pPr>
            <w:r/>
            <w:r>
              <w:rPr>
                <w:rFonts w:ascii="仿宋_GB2312" w:hAnsi="仿宋_GB2312" w:eastAsia="仿宋_GB2312"/>
                <w:b w:val="0"/>
                <w:color w:val="000000"/>
                <w:sz w:val="32"/>
              </w:rPr>
              <w:t>10,600万元</w:t>
            </w:r>
          </w:p>
        </w:tc>
      </w:tr>
      <w:tr>
        <w:tc>
          <w:tcPr>
            <w:tcW w:type="dxa" w:w="2551"/>
          </w:tcPr>
          <w:p>
            <w:pPr>
              <w:spacing w:lineRule="exact" w:line="600"/>
              <w:jc w:val="center"/>
            </w:pPr>
            <w:r/>
            <w:r>
              <w:rPr>
                <w:rFonts w:ascii="仿宋_GB2312" w:hAnsi="仿宋_GB2312" w:eastAsia="仿宋_GB2312"/>
                <w:b w:val="0"/>
                <w:color w:val="000000"/>
                <w:sz w:val="32"/>
              </w:rPr>
              <w:t>成立时间</w:t>
            </w:r>
          </w:p>
        </w:tc>
        <w:tc>
          <w:tcPr>
            <w:tcW w:type="dxa" w:w="6236"/>
          </w:tcPr>
          <w:p>
            <w:pPr>
              <w:spacing w:lineRule="exact" w:line="600"/>
              <w:jc w:val="center"/>
            </w:pPr>
            <w:r/>
            <w:r>
              <w:rPr>
                <w:rFonts w:ascii="仿宋_GB2312" w:hAnsi="仿宋_GB2312" w:eastAsia="仿宋_GB2312"/>
                <w:b w:val="0"/>
                <w:color w:val="000000"/>
                <w:sz w:val="32"/>
              </w:rPr>
              <w:t>2007-12-05</w:t>
            </w:r>
          </w:p>
        </w:tc>
      </w:tr>
      <w:tr>
        <w:tc>
          <w:tcPr>
            <w:tcW w:type="dxa" w:w="2551"/>
          </w:tcPr>
          <w:p>
            <w:pPr>
              <w:spacing w:lineRule="exact" w:line="600"/>
              <w:jc w:val="center"/>
            </w:pPr>
            <w:r/>
            <w:r>
              <w:rPr>
                <w:rFonts w:ascii="仿宋_GB2312" w:hAnsi="仿宋_GB2312" w:eastAsia="仿宋_GB2312"/>
                <w:b w:val="0"/>
                <w:color w:val="000000"/>
                <w:sz w:val="32"/>
              </w:rPr>
              <w:t>占地/员工</w:t>
            </w:r>
          </w:p>
        </w:tc>
        <w:tc>
          <w:tcPr>
            <w:tcW w:type="dxa" w:w="6236"/>
          </w:tcPr>
          <w:p>
            <w:pPr>
              <w:spacing w:lineRule="exact" w:line="600"/>
              <w:jc w:val="center"/>
            </w:pPr>
            <w:r/>
            <w:r>
              <w:rPr>
                <w:rFonts w:ascii="仿宋_GB2312" w:hAnsi="仿宋_GB2312" w:eastAsia="仿宋_GB2312"/>
                <w:b w:val="0"/>
                <w:color w:val="000000"/>
                <w:sz w:val="32"/>
              </w:rPr>
              <w:t>550亩 / 约600人</w:t>
            </w:r>
          </w:p>
        </w:tc>
      </w:tr>
      <w:tr>
        <w:tc>
          <w:tcPr>
            <w:tcW w:type="dxa" w:w="2551"/>
          </w:tcPr>
          <w:p>
            <w:pPr>
              <w:spacing w:lineRule="exact" w:line="600"/>
              <w:jc w:val="center"/>
            </w:pPr>
            <w:r/>
            <w:r>
              <w:rPr>
                <w:rFonts w:ascii="仿宋_GB2312" w:hAnsi="仿宋_GB2312" w:eastAsia="仿宋_GB2312"/>
                <w:b w:val="0"/>
                <w:color w:val="000000"/>
                <w:sz w:val="32"/>
              </w:rPr>
              <w:t>年生产能力</w:t>
            </w:r>
          </w:p>
        </w:tc>
        <w:tc>
          <w:tcPr>
            <w:tcW w:type="dxa" w:w="6236"/>
          </w:tcPr>
          <w:p>
            <w:pPr>
              <w:spacing w:lineRule="exact" w:line="600"/>
              <w:jc w:val="center"/>
            </w:pPr>
            <w:r/>
            <w:r>
              <w:rPr>
                <w:rFonts w:ascii="仿宋_GB2312" w:hAnsi="仿宋_GB2312" w:eastAsia="仿宋_GB2312"/>
                <w:b w:val="0"/>
                <w:color w:val="000000"/>
                <w:sz w:val="32"/>
              </w:rPr>
              <w:t>约23,000吨</w:t>
            </w:r>
          </w:p>
        </w:tc>
      </w:tr>
      <w:tr>
        <w:tc>
          <w:tcPr>
            <w:tcW w:type="dxa" w:w="2551"/>
          </w:tcPr>
          <w:p>
            <w:pPr>
              <w:spacing w:lineRule="exact" w:line="600"/>
              <w:jc w:val="center"/>
            </w:pPr>
            <w:r/>
            <w:r>
              <w:rPr>
                <w:rFonts w:ascii="仿宋_GB2312" w:hAnsi="仿宋_GB2312" w:eastAsia="仿宋_GB2312"/>
                <w:b w:val="0"/>
                <w:color w:val="000000"/>
                <w:sz w:val="32"/>
              </w:rPr>
              <w:t>特高压资质</w:t>
            </w:r>
          </w:p>
        </w:tc>
        <w:tc>
          <w:tcPr>
            <w:tcW w:type="dxa" w:w="6236"/>
          </w:tcPr>
          <w:p>
            <w:pPr>
              <w:spacing w:lineRule="exact" w:line="600"/>
              <w:jc w:val="center"/>
            </w:pPr>
            <w:r/>
            <w:r>
              <w:rPr>
                <w:rFonts w:ascii="仿宋_GB2312" w:hAnsi="仿宋_GB2312" w:eastAsia="仿宋_GB2312"/>
                <w:b w:val="0"/>
                <w:color w:val="000000"/>
                <w:sz w:val="32"/>
              </w:rPr>
              <w:t>国网30家特高压钢管塔厂家之一</w:t>
            </w:r>
          </w:p>
        </w:tc>
      </w:tr>
      <w:tr>
        <w:tc>
          <w:tcPr>
            <w:tcW w:type="dxa" w:w="2551"/>
          </w:tcPr>
          <w:p>
            <w:pPr>
              <w:spacing w:lineRule="exact" w:line="600"/>
              <w:jc w:val="center"/>
            </w:pPr>
            <w:r/>
            <w:r>
              <w:rPr>
                <w:rFonts w:ascii="仿宋_GB2312" w:hAnsi="仿宋_GB2312" w:eastAsia="仿宋_GB2312"/>
                <w:b w:val="0"/>
                <w:color w:val="000000"/>
                <w:sz w:val="32"/>
              </w:rPr>
              <w:t>营收/利润</w:t>
            </w:r>
          </w:p>
        </w:tc>
        <w:tc>
          <w:tcPr>
            <w:tcW w:type="dxa" w:w="6236"/>
          </w:tcPr>
          <w:p>
            <w:pPr>
              <w:spacing w:lineRule="exact" w:line="600"/>
              <w:jc w:val="center"/>
            </w:pPr>
            <w:r/>
            <w:r>
              <w:rPr>
                <w:rFonts w:ascii="仿宋_GB2312" w:hAnsi="仿宋_GB2312" w:eastAsia="仿宋_GB2312"/>
                <w:b w:val="0"/>
                <w:color w:val="000000"/>
                <w:sz w:val="32"/>
              </w:rPr>
              <w:t>未公开披露（2025利润+58.5%）</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财务数据未公开披露。铁塔加工行业毛利率受钢材价格与中标价格影响；公司新能源（风电塔架）布局推动2025年利润同比增长58.5%，盈利结构改善。</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无公开资产数据。重资产属性下固定资产（厂房7万平、设备280余台套）占比较大，资产质量总体与制造规模匹配。</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无公开负债数据。建议授信前核查有息负债与对外担保；固定资产规模可支撑融资增信。</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无公开现金流数据。电网与新能源工程业务回款周期较长，需关注经营性现金流与应收管理。</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华安铁塔（集群龙头、行业前十）、银塔电力（智能化角钢塔新厂）相比，五洲鼎益具备国网30家特高压钢管塔厂家资质与1000kV业绩，且新能源（风电塔架）转型成效突出（2025利润+58.5%），差异化竞争优势明显。</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法人独资民营企业，设法定代表人（李志刚）及经营管理层；作为高新技术企业建立较规范的质量与安全管理体系，参与行业标准制定。</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法定代表人李志刚；技术骨干含输电标准化委员会委员、塔桅钢结构分会理事，焊接管理与技术人员143人（焊接管理人员20人、持证焊工101人、其他技术121人），技术管理力量较强。</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通过三体系认证与国家电网供应商现场审核；自主研发ERP/MES，产品研制周期缩短20%、运营降本10%，数字化内控与质量体系较完备；参与国标/团标制定体现技术话语权。</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员工约600人，专业技术人员121人、持证焊工101人，技术与生产人力较充实；引进数控激光切割、等离子切割与焊接机器人提升自动化水平。</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特高压与国网资质：国网认可30家特高压钢管塔厂家之一，具备1000kV铁塔业绩，资质壁垒高。二是技术与标准：行业标准主要参编单位，ERP/MES自研，研制周期缩短20%、生产效率提升10%。三是新能源转型：具备3000kW风电塔架成熟能力，2025年利润+58.5%，打开第二增长曲线。四是规模与装备：550亩、7万平厂房、280余台套设备，产能与客户基础扎实。五是智能改造：潍坊市智能制造标杆企业，数字化管理覆盖全流程。</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行业与政策风险：收入依赖电网与新能源投资节奏；应对为多元化（通信、铁路、光伏）。二是原料价格风险：钢材、锌锭随行情波动；应对为集采管理。三是客户与回款风险：工程业务回款周期长、集中度较高，需强化应收管理。四是安全质量风险：铁塔涉及起重焊接安全与质量责任。五是经营透明度风险：非上市、财务未公开，授信需加强尽调。</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对国网/南网等核心客户应收账款可开展保理。供应链金融：为上游钢材供应商提供订单/存货融资。融资租赁：风电塔架与智能产线设备投资适合直租/回租。小贷：面向临时周转。五洲鼎益资质优、新能源转型快，是优质客户，建议以"电网应收保理+新能源设备融资租赁"组合切入。</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潍坊五洲鼎益是安丘特高压集群骨干、国网30家特高压钢管塔厂家之一，特高压资质与智能改造领先，且新能源（风电塔架）转型成效突出；但收入依赖电网投资、财务透明度有限。发展展望：据行业趋势与"双碳"目标，特高压与新能源（风电、光伏）装备需求增长，公司新能源赛道已尝甜头（2025利润+58.5%），成长空间明确。建议：一是对接电网应收保理与新能源设备融资租赁；二是授信前补充规范财务资料；三是关注电网/新能源投资节奏与回款风险。</w:t>
      </w:r>
    </w:p>
    <w:p>
      <w:pPr>
        <w:spacing w:lineRule="exact" w:line="600" w:before="0" w:after="0"/>
        <w:jc w:val="left"/>
      </w:pPr>
      <w:r>
        <w:rPr>
          <w:rFonts w:ascii="仿宋_GB2312" w:hAnsi="仿宋_GB2312" w:eastAsia="仿宋_GB2312"/>
          <w:b w:val="0"/>
          <w:color w:val="000000"/>
          <w:sz w:val="28"/>
        </w:rPr>
        <w:t>数据来源说明：天眼查/爱企查（工商、股权、参保）、11315信用平台（重组沿革、产能、资质）、潍坊市工信局/安丘融媒（智能制造标杆、新能源利润增长）、公司公开资料（标准参编、生产许可证）。财务数据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