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lineRule="exact" w:line="600" w:before="240" w:after="240"/>
        <w:ind w:firstLine="0"/>
        <w:jc w:val="center"/>
      </w:pPr>
      <w:r>
        <w:rPr>
          <w:rFonts w:ascii="方正小标宋简体" w:hAnsi="方正小标宋简体" w:eastAsia="方正小标宋简体"/>
          <w:b w:val="0"/>
          <w:color w:val="000000"/>
          <w:sz w:val="44"/>
        </w:rPr>
        <w:t>寿光市特色原料药产业集群</w:t>
      </w:r>
    </w:p>
    <w:p>
      <w:pPr>
        <w:spacing w:lineRule="exact" w:line="600" w:before="240" w:after="240"/>
        <w:ind w:firstLine="0"/>
        <w:jc w:val="center"/>
      </w:pPr>
      <w:r>
        <w:rPr>
          <w:rFonts w:ascii="方正小标宋简体" w:hAnsi="方正小标宋简体" w:eastAsia="方正小标宋简体"/>
          <w:b w:val="0"/>
          <w:color w:val="000000"/>
          <w:sz w:val="44"/>
        </w:rPr>
        <w:t>寿光富康制药有限公司企业分析报告</w:t>
      </w:r>
    </w:p>
    <w:p>
      <w:pPr>
        <w:spacing w:lineRule="exact" w:line="600" w:before="0" w:after="0"/>
        <w:jc w:val="left"/>
      </w:pPr>
      <w:r>
        <w:rPr>
          <w:rFonts w:ascii="仿宋_GB2312" w:hAnsi="仿宋_GB2312" w:eastAsia="仿宋_GB2312"/>
          <w:b w:val="0"/>
          <w:color w:val="000000"/>
          <w:sz w:val="28"/>
        </w:rPr>
        <w:t>（本报告数据来源于天眼查/爱企查、寿光富康制药官网、潍坊科技局公开信息及快懂百科。统计时点截至2025年。非上市企业，财务数据未公开披露，已如实标注。）</w:t>
      </w:r>
    </w:p>
    <w:p>
      <w:pPr>
        <w:spacing w:lineRule="exact" w:line="600" w:before="120" w:after="120"/>
        <w:ind w:firstLine="420"/>
        <w:jc w:val="left"/>
      </w:pPr>
      <w:r>
        <w:rPr>
          <w:rFonts w:ascii="黑体" w:hAnsi="黑体" w:eastAsia="黑体"/>
          <w:b w:val="0"/>
          <w:color w:val="000000"/>
          <w:sz w:val="32"/>
        </w:rPr>
        <w:t>一、公司基本概况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（一）工商信息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寿光富康制药有限公司成立于1997年7月8日，统一社会信用代码91370783613588951Q，注册地址为山东省寿光市东环路666号，法定代表人为杨维国（董事长）。注册资本15,600万美元（实缴同），企业类型为有限责任公司（台港澳与境内合资），人员规模1000—4999人，参保人数约1875人。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股权结构：青岛富康化工科技有限公司持股55%、香港意东国际有限公司持股45%；境内民营+港资合资，实控人为杨维国等管理层/员工股东。属合资制药企业。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（二）组织架构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公司对外投资7家企业，形成原料药、固体制剂、中间体、溴化物、热敏新材料等六大板块，下辖寿光惠康生物医药等。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（三）发展沿革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创建于1993年（1997年改制为有限公司），国家级重点高新技术企业、国家综合性新药研发技术大平台产业化示范企业；主导产品TMP、二甲双胍、奥美拉唑等产销量居全球/国内前列。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（四）企业定位与主营业务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定位为原料药与医药中间体龙头，主营化学原料药（甲氧苄啶TMP、奥美拉唑、磺胺甲恶唑SMZ、盐酸二甲双胍、氯氮平等20个品种）、药物制剂、医药中间体、溴化物、纸张添加剂。</w:t>
      </w:r>
    </w:p>
    <w:p>
      <w:pPr>
        <w:spacing w:lineRule="exact" w:line="600" w:before="120" w:after="120"/>
        <w:ind w:firstLine="420"/>
        <w:jc w:val="left"/>
      </w:pPr>
      <w:r>
        <w:rPr>
          <w:rFonts w:ascii="黑体" w:hAnsi="黑体" w:eastAsia="黑体"/>
          <w:b w:val="0"/>
          <w:color w:val="000000"/>
          <w:sz w:val="32"/>
        </w:rPr>
        <w:t>二、业务层面分析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（一）业务结构与收入构成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收入以原料药（TMP、二甲双胍、奥美拉唑、SMZ等）为主，中间体、溴化物、制剂为辅。具体分收入未披露。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（二）主要产品/服务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原料药：TMP（全球份额70%+）、奥美拉唑、SMZ、二甲双胍、氯氮平；溴化物；纸张添加剂ODB-I/II（与巴斯夫合资）；制剂。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（三）客户分析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与辉瑞、诺华、拜耳、礼来、上药集团等全球顶级药企建立供货与战略关系；产品出口70多国。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（四）供应商与采购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化工原料外采，建有严格质控与GMP体系。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（五）产能/资源/牌照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20个化学原料药批准文号、19个制剂文号、16个欧洲CEP证书、11个美国DMF号；通过NMPA、USFDA、EDQM、WHO认证；国家级企业技术中心、博士后工作站。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（六）销售与渠道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以直供全球药企与出口为主，覆盖国内27省市、70多国。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（七）经营数据和市场占有率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非上市财务未披露。员工近3000人（公开称）、生产区2600亩；TMP产销量全球第一（份额70%+），二甲双胍、奥美拉唑、SMZ居国内/全球前列。</w:t>
      </w:r>
    </w:p>
    <w:p>
      <w:pPr>
        <w:spacing w:lineRule="exact" w:line="600" w:before="120" w:after="120"/>
        <w:ind w:firstLine="420"/>
        <w:jc w:val="left"/>
      </w:pPr>
      <w:r>
        <w:rPr>
          <w:rFonts w:ascii="黑体" w:hAnsi="黑体" w:eastAsia="黑体"/>
          <w:b w:val="0"/>
          <w:color w:val="000000"/>
          <w:sz w:val="32"/>
        </w:rPr>
        <w:t>三、财务报表分析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（一）近三年主要会计数据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财务未公开披露，列示公开结构性信息：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4422"/>
        <w:gridCol w:w="4422"/>
      </w:tblGrid>
      <w:tr>
        <w:tc>
          <w:tcPr>
            <w:tcW w:type="dxa" w:w="3402"/>
          </w:tcPr>
          <w:p>
            <w:pPr>
              <w:spacing w:lineRule="exact" w:line="600"/>
              <w:jc w:val="center"/>
            </w:pPr>
            <w:r/>
            <w:r>
              <w:rPr>
                <w:rFonts w:ascii="黑体" w:hAnsi="黑体" w:eastAsia="黑体"/>
                <w:b/>
                <w:color w:val="000000"/>
                <w:sz w:val="32"/>
              </w:rPr>
              <w:t>指标</w:t>
            </w:r>
          </w:p>
        </w:tc>
        <w:tc>
          <w:tcPr>
            <w:tcW w:type="dxa" w:w="4535"/>
          </w:tcPr>
          <w:p>
            <w:pPr>
              <w:spacing w:lineRule="exact" w:line="600"/>
              <w:jc w:val="center"/>
            </w:pPr>
            <w:r/>
            <w:r>
              <w:rPr>
                <w:rFonts w:ascii="黑体" w:hAnsi="黑体" w:eastAsia="黑体"/>
                <w:b/>
                <w:color w:val="000000"/>
                <w:sz w:val="32"/>
              </w:rPr>
              <w:t>说明</w:t>
            </w:r>
          </w:p>
        </w:tc>
      </w:tr>
      <w:tr>
        <w:tc>
          <w:tcPr>
            <w:tcW w:type="dxa" w:w="3402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注册资本</w:t>
            </w:r>
          </w:p>
        </w:tc>
        <w:tc>
          <w:tcPr>
            <w:tcW w:type="dxa" w:w="453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15,600万美元（实缴）</w:t>
            </w:r>
          </w:p>
        </w:tc>
      </w:tr>
      <w:tr>
        <w:tc>
          <w:tcPr>
            <w:tcW w:type="dxa" w:w="3402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人员规模</w:t>
            </w:r>
          </w:p>
        </w:tc>
        <w:tc>
          <w:tcPr>
            <w:tcW w:type="dxa" w:w="453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1000—4999人（参保约1875）</w:t>
            </w:r>
          </w:p>
        </w:tc>
      </w:tr>
      <w:tr>
        <w:tc>
          <w:tcPr>
            <w:tcW w:type="dxa" w:w="3402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产品地位</w:t>
            </w:r>
          </w:p>
        </w:tc>
        <w:tc>
          <w:tcPr>
            <w:tcW w:type="dxa" w:w="453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TMP全球份额70%+，多项居首</w:t>
            </w:r>
          </w:p>
        </w:tc>
      </w:tr>
      <w:tr>
        <w:tc>
          <w:tcPr>
            <w:tcW w:type="dxa" w:w="3402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资质</w:t>
            </w:r>
          </w:p>
        </w:tc>
        <w:tc>
          <w:tcPr>
            <w:tcW w:type="dxa" w:w="453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高新/国家企业技术中心/CEP/DMF</w:t>
            </w:r>
          </w:p>
        </w:tc>
      </w:tr>
    </w:tbl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（二）—（六）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因财务未披露，不做具体测算。定性看：原料药规模与认证壁垒极高，客户为全球 Top 药企，营收稳健；受原料与环保成本、API价格周期影响毛利。对标华海药业、天宇股份，富康在TMP等细分具全球领先。</w:t>
      </w:r>
    </w:p>
    <w:p>
      <w:pPr>
        <w:spacing w:lineRule="exact" w:line="600" w:before="120" w:after="120"/>
        <w:ind w:firstLine="420"/>
        <w:jc w:val="left"/>
      </w:pPr>
      <w:r>
        <w:rPr>
          <w:rFonts w:ascii="黑体" w:hAnsi="黑体" w:eastAsia="黑体"/>
          <w:b w:val="0"/>
          <w:color w:val="000000"/>
          <w:sz w:val="32"/>
        </w:rPr>
        <w:t>四、公司治理、管理与人力资源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（一）治理结构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合资有限公司，杨维国任董事长，治理规范，符合合资与药企内控。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（二）管理层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杨维国负责经营，管理层具原料药产业背景。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（三）组织与内控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通过NMPA/USFDA/EDQM/WHO多重认证，内控与质量体系国际水准。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（四）人力资源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参保约1875人，建有国家级企业技术中心、博士后工作站，研发人员充足。</w:t>
      </w:r>
    </w:p>
    <w:p>
      <w:pPr>
        <w:spacing w:lineRule="exact" w:line="600" w:before="120" w:after="120"/>
        <w:ind w:firstLine="420"/>
        <w:jc w:val="left"/>
      </w:pPr>
      <w:r>
        <w:rPr>
          <w:rFonts w:ascii="黑体" w:hAnsi="黑体" w:eastAsia="黑体"/>
          <w:b w:val="0"/>
          <w:color w:val="000000"/>
          <w:sz w:val="32"/>
        </w:rPr>
        <w:t>五、核心竞争力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一是TMP等细分全球龙头地位（份额70%+）；二是20个API+CEP/DMF国际认证壁垒；三是辉瑞/诺华等顶级客户绑定；四是国家级技术中心与全产业链（糖尿病/消化/精神类）。</w:t>
      </w:r>
    </w:p>
    <w:p>
      <w:pPr>
        <w:spacing w:lineRule="exact" w:line="600" w:before="120" w:after="120"/>
        <w:ind w:firstLine="420"/>
        <w:jc w:val="left"/>
      </w:pPr>
      <w:r>
        <w:rPr>
          <w:rFonts w:ascii="黑体" w:hAnsi="黑体" w:eastAsia="黑体"/>
          <w:b w:val="0"/>
          <w:color w:val="000000"/>
          <w:sz w:val="32"/>
        </w:rPr>
        <w:t>六、风险分析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（一）行业风险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原料药价格周期、环保与集采影响。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（二）经营风险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单品集中（TMP）波动；环保与安全生产压力。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（三）财务风险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财务未披露，重资产与认证投入大，但客户优质、现金流稳。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（四）合规风险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药品生产许可、FDA/EDQM检查、环保为重点，公司合规强。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（五）应对措施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多元产品（糖尿病/消化/精神类）分散风险、持续认证、绿色生产。</w:t>
      </w:r>
    </w:p>
    <w:p>
      <w:pPr>
        <w:spacing w:lineRule="exact" w:line="600" w:before="120" w:after="120"/>
        <w:ind w:firstLine="420"/>
        <w:jc w:val="left"/>
      </w:pPr>
      <w:r>
        <w:rPr>
          <w:rFonts w:ascii="黑体" w:hAnsi="黑体" w:eastAsia="黑体"/>
          <w:b w:val="0"/>
          <w:color w:val="000000"/>
          <w:sz w:val="32"/>
        </w:rPr>
        <w:t>七、融资需求（与山东投资协同）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①原料采购与出口应收账款保理；②产线设备融资租赁；③国际认证与技改项目贷款；④上游化工供应商供应链金融。山东投资可围绕“特色原料药”提供金融。</w:t>
      </w:r>
    </w:p>
    <w:p>
      <w:pPr>
        <w:spacing w:lineRule="exact" w:line="600" w:before="120" w:after="120"/>
        <w:ind w:firstLine="420"/>
        <w:jc w:val="left"/>
      </w:pPr>
      <w:r>
        <w:rPr>
          <w:rFonts w:ascii="黑体" w:hAnsi="黑体" w:eastAsia="黑体"/>
          <w:b w:val="0"/>
          <w:color w:val="000000"/>
          <w:sz w:val="32"/>
        </w:rPr>
        <w:t>八、综合评价、发展展望与建议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寿光富康制药是寿光特色原料药集群骨干，TMP等细分全球龙头、国际认证完备，壁垒极高。非上市致财务透明度低。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展望：特色原料药与制剂升级空间大。建议拓展制剂与多品种、强化合规；山东投资以供应链金融与设备租赁支持其国际化提质。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数据来源说明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寿光富康制药有限公司工商信息（天眼查/爱企查，统一社会信用代码91370783613588951Q）；公司官网 fukangpharm.com；潍坊科技局企业信息；快懂百科。财务数据企业未公开披露，已如实标注。</w:t>
      </w:r>
    </w:p>
    <w:sectPr w:rsidR="00FC693F" w:rsidRPr="0006063C" w:rsidSect="00034616">
      <w:footerReference w:type="default" r:id="rId9"/>
      <w:pgSz w:w="11906" w:h="16838"/>
      <w:pgMar w:top="2098" w:right="1474" w:bottom="1984" w:left="158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spacing w:lineRule="exact" w:line="600"/>
      <w:ind w:firstLine="0"/>
      <w:jc w:val="center"/>
    </w:pPr>
    <w:r>
      <w:rPr>
        <w:rFonts w:ascii="宋体" w:hAnsi="宋体" w:eastAsia="宋体"/>
        <w:b w:val="0"/>
        <w:color w:val="000000"/>
        <w:sz w:val="28"/>
      </w:rPr>
      <w:t xml:space="preserve">— </w:t>
    </w:r>
    <w:r>
      <w:rPr>
        <w:rFonts w:ascii="Times New Roman" w:hAnsi="Times New Roman" w:eastAsia="Times New Roman"/>
        <w:b w:val="0"/>
        <w:color w:val="000000"/>
        <w:sz w:val="28"/>
      </w:rPr>
      <w:fldChar w:fldCharType="begin"/>
      <w:instrText xml:space="preserve">PAGE</w:instrText>
      <w:fldChar w:fldCharType="end"/>
    </w:r>
    <w:r>
      <w:rPr>
        <w:rFonts w:ascii="宋体" w:hAnsi="宋体" w:eastAsia="宋体"/>
        <w:b w:val="0"/>
        <w:color w:val="000000"/>
        <w:sz w:val="28"/>
      </w:rPr>
      <w:t xml:space="preserve"> —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