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t>寿光市生物基新材料特色产业集群</w:t>
      </w:r>
    </w:p>
    <w:p>
      <w:pPr>
        <w:spacing w:lineRule="exact" w:line="600" w:before="240" w:after="240"/>
        <w:ind w:firstLine="0"/>
        <w:jc w:val="center"/>
      </w:pPr>
      <w:r>
        <w:rPr>
          <w:rFonts w:ascii="方正小标宋简体" w:hAnsi="方正小标宋简体" w:eastAsia="方正小标宋简体"/>
          <w:b w:val="0"/>
          <w:color w:val="000000"/>
          <w:sz w:val="44"/>
        </w:rPr>
        <w:t>寿光天力药业有限公司企业分析报告</w:t>
      </w:r>
    </w:p>
    <w:p>
      <w:pPr>
        <w:spacing w:lineRule="exact" w:line="600" w:before="0" w:after="0"/>
        <w:jc w:val="left"/>
      </w:pPr>
      <w:r>
        <w:rPr>
          <w:rFonts w:ascii="仿宋_GB2312" w:hAnsi="仿宋_GB2312" w:eastAsia="仿宋_GB2312"/>
          <w:b w:val="0"/>
          <w:color w:val="000000"/>
          <w:sz w:val="28"/>
        </w:rPr>
        <w:t>（本报告基于爱企查/天眼查工商信息、公开行业平台资料及媒体报道等公开渠道整理，统计时点截至最新披露信息。该公司为外商投资非独资企业，财务数据未公开披露，已如实标注，未编造具体数字。）</w:t>
      </w:r>
    </w:p>
    <w:p>
      <w:pPr>
        <w:spacing w:lineRule="exact" w:line="600" w:before="120" w:after="120"/>
        <w:ind w:firstLine="420"/>
        <w:jc w:val="left"/>
      </w:pPr>
      <w:r>
        <w:rPr>
          <w:rFonts w:ascii="黑体" w:hAnsi="黑体" w:eastAsia="黑体"/>
          <w:b w:val="0"/>
          <w:color w:val="000000"/>
          <w:sz w:val="32"/>
        </w:rPr>
        <w:t>一、公司基本概况</w:t>
      </w:r>
    </w:p>
    <w:p>
      <w:pPr>
        <w:spacing w:lineRule="exact" w:line="600" w:before="120" w:after="120"/>
        <w:ind w:firstLine="420"/>
        <w:jc w:val="left"/>
      </w:pPr>
      <w:r>
        <w:rPr>
          <w:rFonts w:ascii="楷体_GB2312" w:hAnsi="楷体_GB2312" w:eastAsia="楷体_GB2312"/>
          <w:b w:val="0"/>
          <w:color w:val="000000"/>
          <w:sz w:val="32"/>
        </w:rPr>
        <w:t>（一）工商信息</w:t>
      </w:r>
    </w:p>
    <w:p>
      <w:pPr>
        <w:spacing w:lineRule="exact" w:line="600" w:before="0" w:after="0"/>
        <w:ind w:firstLine="420"/>
        <w:jc w:val="both"/>
      </w:pPr>
      <w:r>
        <w:rPr>
          <w:rFonts w:ascii="仿宋_GB2312" w:hAnsi="仿宋_GB2312" w:eastAsia="仿宋_GB2312"/>
          <w:b w:val="0"/>
          <w:color w:val="000000"/>
          <w:sz w:val="32"/>
        </w:rPr>
        <w:t>寿光天力药业有限公司（曾用名：山东天力生物科技有限公司、山东天力生物化工有限公司）成立于2004年3月18日，统一社会信用代码为9137078376003350XY，法定代表人为王新建，登记机关为寿光市市场监督管理局，营业期限自2004年3月18日至无固定期限。</w:t>
      </w:r>
    </w:p>
    <w:p>
      <w:pPr>
        <w:spacing w:lineRule="exact" w:line="600" w:before="0" w:after="0"/>
        <w:ind w:firstLine="420"/>
        <w:jc w:val="both"/>
      </w:pPr>
      <w:r>
        <w:rPr>
          <w:rFonts w:ascii="仿宋_GB2312" w:hAnsi="仿宋_GB2312" w:eastAsia="仿宋_GB2312"/>
          <w:b w:val="0"/>
          <w:color w:val="000000"/>
          <w:sz w:val="32"/>
        </w:rPr>
        <w:t>公司企业类型为有限责任公司（外商投资、非独资），注册资本2,810.21万美元（已全额实缴），注册地址位于山东省潍坊市寿光市古城街道办驻地安顺街南、兴源西路西侧。所属行业为医药制造业（经营范围亦涵盖食品添加剂、饲料添加剂、药品生产批发等）。参保人数约1,866人（2025年年报口径），对外投资1家公司，设有1处分支机构。公司系高新技术企业、制造业单项冠军企业、企业技术中心、创新型中小企业。</w:t>
      </w:r>
    </w:p>
    <w:p>
      <w:pPr>
        <w:spacing w:lineRule="exact" w:line="600" w:before="120" w:after="120"/>
        <w:ind w:firstLine="420"/>
        <w:jc w:val="left"/>
      </w:pPr>
      <w:r>
        <w:rPr>
          <w:rFonts w:ascii="楷体_GB2312" w:hAnsi="楷体_GB2312" w:eastAsia="楷体_GB2312"/>
          <w:b w:val="0"/>
          <w:color w:val="000000"/>
          <w:sz w:val="32"/>
        </w:rPr>
        <w:t>（二）组织架构</w:t>
      </w:r>
    </w:p>
    <w:p>
      <w:pPr>
        <w:spacing w:lineRule="exact" w:line="600" w:before="0" w:after="0"/>
        <w:ind w:firstLine="420"/>
        <w:jc w:val="both"/>
      </w:pPr>
      <w:r>
        <w:rPr>
          <w:rFonts w:ascii="仿宋_GB2312" w:hAnsi="仿宋_GB2312" w:eastAsia="仿宋_GB2312"/>
          <w:b w:val="0"/>
          <w:color w:val="000000"/>
          <w:sz w:val="32"/>
        </w:rPr>
        <w:t>公司为外商投资非独资企业，法定代表人王新建，对外投资1家、设1处分支机构。业务横跨医药制造与食品添加剂两大板块，内部按产品线（糖醇系列、药品/添加剂）划分生产经营单元。</w:t>
      </w:r>
    </w:p>
    <w:p>
      <w:pPr>
        <w:spacing w:lineRule="exact" w:line="600" w:before="120" w:after="120"/>
        <w:ind w:firstLine="420"/>
        <w:jc w:val="left"/>
      </w:pPr>
      <w:r>
        <w:rPr>
          <w:rFonts w:ascii="楷体_GB2312" w:hAnsi="楷体_GB2312" w:eastAsia="楷体_GB2312"/>
          <w:b w:val="0"/>
          <w:color w:val="000000"/>
          <w:sz w:val="32"/>
        </w:rPr>
        <w:t>（三）发展沿革</w:t>
      </w:r>
    </w:p>
    <w:p>
      <w:pPr>
        <w:spacing w:lineRule="exact" w:line="600" w:before="0" w:after="0"/>
        <w:ind w:firstLine="420"/>
        <w:jc w:val="both"/>
      </w:pPr>
      <w:r>
        <w:rPr>
          <w:rFonts w:ascii="仿宋_GB2312" w:hAnsi="仿宋_GB2312" w:eastAsia="仿宋_GB2312"/>
          <w:b w:val="0"/>
          <w:color w:val="000000"/>
          <w:sz w:val="32"/>
        </w:rPr>
        <w:t>公司成立于2004年（曾用名反映其从"生物科技/生物化工"向"药业"的转型），长期专注于糖醇类功能性配料与医药中间体的研发生产。通过持续技改与认证建设，发展为集生物发酵、植物提取、精细化工于一体的综合性生产企业，并获得高新技术企业、制造业单项冠军等资质。</w:t>
      </w:r>
    </w:p>
    <w:p>
      <w:pPr>
        <w:spacing w:lineRule="exact" w:line="600" w:before="120" w:after="120"/>
        <w:ind w:firstLine="420"/>
        <w:jc w:val="left"/>
      </w:pPr>
      <w:r>
        <w:rPr>
          <w:rFonts w:ascii="楷体_GB2312" w:hAnsi="楷体_GB2312" w:eastAsia="楷体_GB2312"/>
          <w:b w:val="0"/>
          <w:color w:val="000000"/>
          <w:sz w:val="32"/>
        </w:rPr>
        <w:t>（四）企业定位与主营业务</w:t>
      </w:r>
    </w:p>
    <w:p>
      <w:pPr>
        <w:spacing w:lineRule="exact" w:line="600" w:before="0" w:after="0"/>
        <w:ind w:firstLine="420"/>
        <w:jc w:val="both"/>
      </w:pPr>
      <w:r>
        <w:rPr>
          <w:rFonts w:ascii="仿宋_GB2312" w:hAnsi="仿宋_GB2312" w:eastAsia="仿宋_GB2312"/>
          <w:b w:val="0"/>
          <w:color w:val="000000"/>
          <w:sz w:val="32"/>
        </w:rPr>
        <w:t>公司战略定位为集研发、生产、销售于一体的综合性食品添加剂与医药中间体（及药品）生产企业。主营业务包括：糖醇类产品（山梨醇、甘露醇、麦芽糖醇、木糖醇、赤藓糖醇、异麦芽酮糖醇等）、葡萄糖酸钠、聚葡萄糖、低聚异麦芽糖、抗性糊精等膳食纤维与功能性碳水化合物；同时具备药品生产、保健食品生产、食品添加剂与饲料添加剂生产，以及热力生产和发电等资质。核心产品为全系列糖醇与功能性糖。</w:t>
      </w:r>
    </w:p>
    <w:p>
      <w:pPr>
        <w:spacing w:lineRule="exact" w:line="600" w:before="120" w:after="120"/>
        <w:ind w:firstLine="420"/>
        <w:jc w:val="left"/>
      </w:pPr>
      <w:r>
        <w:rPr>
          <w:rFonts w:ascii="黑体" w:hAnsi="黑体" w:eastAsia="黑体"/>
          <w:b w:val="0"/>
          <w:color w:val="000000"/>
          <w:sz w:val="32"/>
        </w:rPr>
        <w:t>二、业务层面分析</w:t>
      </w:r>
    </w:p>
    <w:p>
      <w:pPr>
        <w:spacing w:lineRule="exact" w:line="600" w:before="120" w:after="120"/>
        <w:ind w:firstLine="420"/>
        <w:jc w:val="left"/>
      </w:pPr>
      <w:r>
        <w:rPr>
          <w:rFonts w:ascii="楷体_GB2312" w:hAnsi="楷体_GB2312" w:eastAsia="楷体_GB2312"/>
          <w:b w:val="0"/>
          <w:color w:val="000000"/>
          <w:sz w:val="32"/>
        </w:rPr>
        <w:t>（一）业务结构与收入构成</w:t>
      </w:r>
    </w:p>
    <w:p>
      <w:pPr>
        <w:spacing w:lineRule="exact" w:line="600" w:before="0" w:after="0"/>
        <w:ind w:firstLine="420"/>
        <w:jc w:val="both"/>
      </w:pPr>
      <w:r>
        <w:rPr>
          <w:rFonts w:ascii="仿宋_GB2312" w:hAnsi="仿宋_GB2312" w:eastAsia="仿宋_GB2312"/>
          <w:b w:val="0"/>
          <w:color w:val="000000"/>
          <w:sz w:val="32"/>
        </w:rPr>
        <w:t>公司业务分为食品添加剂/功能性配料（糖醇、聚葡萄糖等）与医药制造（药品生产、医药中间体）两大板块。公开资料未披露分板块收入占比；从产能与描述看，糖醇类功能性配料为当前规模化主业。</w:t>
      </w:r>
    </w:p>
    <w:p>
      <w:pPr>
        <w:spacing w:lineRule="exact" w:line="600" w:before="120" w:after="120"/>
        <w:ind w:firstLine="420"/>
        <w:jc w:val="left"/>
      </w:pPr>
      <w:r>
        <w:rPr>
          <w:rFonts w:ascii="楷体_GB2312" w:hAnsi="楷体_GB2312" w:eastAsia="楷体_GB2312"/>
          <w:b w:val="0"/>
          <w:color w:val="000000"/>
          <w:sz w:val="32"/>
        </w:rPr>
        <w:t>（二）主要产品/服务</w:t>
      </w:r>
    </w:p>
    <w:p>
      <w:pPr>
        <w:spacing w:lineRule="exact" w:line="600" w:before="0" w:after="0"/>
        <w:ind w:firstLine="420"/>
        <w:jc w:val="both"/>
      </w:pPr>
      <w:r>
        <w:rPr>
          <w:rFonts w:ascii="仿宋_GB2312" w:hAnsi="仿宋_GB2312" w:eastAsia="仿宋_GB2312"/>
          <w:b w:val="0"/>
          <w:color w:val="000000"/>
          <w:sz w:val="32"/>
        </w:rPr>
        <w:t>公司产品矩阵涵盖全品类功能性糖醇与甜味剂：山梨醇年产能约8万吨、甘露醇约3万吨、麦芽糖醇约2万吨、赤藓糖醇约1.5万吨，并生产葡萄糖酸钠、聚葡萄糖、低聚异麦芽糖、抗性糊精等。产品纯度达99.5%以上，符合GB及FCC/USP/EP等国际药典标准。此外具备山梨酸及山梨酸钾等防腐剂产能（公开资料提及年产能约3万吨）。</w:t>
      </w:r>
    </w:p>
    <w:p>
      <w:pPr>
        <w:spacing w:lineRule="exact" w:line="600" w:before="120" w:after="120"/>
        <w:ind w:firstLine="420"/>
        <w:jc w:val="left"/>
      </w:pPr>
      <w:r>
        <w:rPr>
          <w:rFonts w:ascii="楷体_GB2312" w:hAnsi="楷体_GB2312" w:eastAsia="楷体_GB2312"/>
          <w:b w:val="0"/>
          <w:color w:val="000000"/>
          <w:sz w:val="32"/>
        </w:rPr>
        <w:t>（三）客户分析</w:t>
      </w:r>
    </w:p>
    <w:p>
      <w:pPr>
        <w:spacing w:lineRule="exact" w:line="600" w:before="0" w:after="0"/>
        <w:ind w:firstLine="420"/>
        <w:jc w:val="both"/>
      </w:pPr>
      <w:r>
        <w:rPr>
          <w:rFonts w:ascii="仿宋_GB2312" w:hAnsi="仿宋_GB2312" w:eastAsia="仿宋_GB2312"/>
          <w:b w:val="0"/>
          <w:color w:val="000000"/>
          <w:sz w:val="32"/>
        </w:rPr>
        <w:t>公司产品出口欧美、东南亚、日韩、中东等30余个国家和地区，国内覆盖华东、华南、华中、华北主要食品产业集聚区。公开资料提及长期服务双汇、金锣、得利斯、联合利华、雀巢、玛氏、统一、康师傅等大型食品与快消企业，客户结构优质。</w:t>
      </w:r>
    </w:p>
    <w:p>
      <w:pPr>
        <w:spacing w:lineRule="exact" w:line="600" w:before="120" w:after="120"/>
        <w:ind w:firstLine="420"/>
        <w:jc w:val="left"/>
      </w:pPr>
      <w:r>
        <w:rPr>
          <w:rFonts w:ascii="楷体_GB2312" w:hAnsi="楷体_GB2312" w:eastAsia="楷体_GB2312"/>
          <w:b w:val="0"/>
          <w:color w:val="000000"/>
          <w:sz w:val="32"/>
        </w:rPr>
        <w:t>（四）供应商与采购</w:t>
      </w:r>
    </w:p>
    <w:p>
      <w:pPr>
        <w:spacing w:lineRule="exact" w:line="600" w:before="0" w:after="0"/>
        <w:ind w:firstLine="420"/>
        <w:jc w:val="both"/>
      </w:pPr>
      <w:r>
        <w:rPr>
          <w:rFonts w:ascii="仿宋_GB2312" w:hAnsi="仿宋_GB2312" w:eastAsia="仿宋_GB2312"/>
          <w:b w:val="0"/>
          <w:color w:val="000000"/>
          <w:sz w:val="32"/>
        </w:rPr>
        <w:t>生产以玉米淀粉、木薯淀粉等碳水化合物为原料，拥有完整原料预处理与精制提纯产线。具体供应商信息未公开披露，原料采购受粮价波动影响。</w:t>
      </w:r>
    </w:p>
    <w:p>
      <w:pPr>
        <w:spacing w:lineRule="exact" w:line="600" w:before="120" w:after="120"/>
        <w:ind w:firstLine="420"/>
        <w:jc w:val="left"/>
      </w:pPr>
      <w:r>
        <w:rPr>
          <w:rFonts w:ascii="楷体_GB2312" w:hAnsi="楷体_GB2312" w:eastAsia="楷体_GB2312"/>
          <w:b w:val="0"/>
          <w:color w:val="000000"/>
          <w:sz w:val="32"/>
        </w:rPr>
        <w:t>（五）产能/资源/牌照</w:t>
      </w:r>
    </w:p>
    <w:p>
      <w:pPr>
        <w:spacing w:lineRule="exact" w:line="600" w:before="0" w:after="0"/>
        <w:ind w:firstLine="420"/>
        <w:jc w:val="both"/>
      </w:pPr>
      <w:r>
        <w:rPr>
          <w:rFonts w:ascii="仿宋_GB2312" w:hAnsi="仿宋_GB2312" w:eastAsia="仿宋_GB2312"/>
          <w:b w:val="0"/>
          <w:color w:val="000000"/>
          <w:sz w:val="32"/>
        </w:rPr>
        <w:t>公司糖醇类产品合计年产能达10万吨级别（各类糖醇合计约14.5万吨），并具备药品与食品添加剂生产牌照。通过ISO9001、ISO22000、FSSC22000、KOSHER、HALAL、BRC等多项国际权威认证，配备HPLC、GC、原子吸收等检测设备，每批次出具COA检测报告。</w:t>
      </w:r>
    </w:p>
    <w:p>
      <w:pPr>
        <w:spacing w:lineRule="exact" w:line="600" w:before="120" w:after="120"/>
        <w:ind w:firstLine="420"/>
        <w:jc w:val="left"/>
      </w:pPr>
      <w:r>
        <w:rPr>
          <w:rFonts w:ascii="楷体_GB2312" w:hAnsi="楷体_GB2312" w:eastAsia="楷体_GB2312"/>
          <w:b w:val="0"/>
          <w:color w:val="000000"/>
          <w:sz w:val="32"/>
        </w:rPr>
        <w:t>（六）销售与渠道</w:t>
      </w:r>
    </w:p>
    <w:p>
      <w:pPr>
        <w:spacing w:lineRule="exact" w:line="600" w:before="0" w:after="0"/>
        <w:ind w:firstLine="420"/>
        <w:jc w:val="both"/>
      </w:pPr>
      <w:r>
        <w:rPr>
          <w:rFonts w:ascii="仿宋_GB2312" w:hAnsi="仿宋_GB2312" w:eastAsia="仿宋_GB2312"/>
          <w:b w:val="0"/>
          <w:color w:val="000000"/>
          <w:sz w:val="32"/>
        </w:rPr>
        <w:t>公司采用"国内直销+外贸出口"模式，国内可实现山东及周边24—48小时整车配送，外贸提供SDS、原产地证、卫生证书等合规文件，支持FOB/CIF/DDP等条款，并配套海运订舱与报关一站式服务。</w:t>
      </w:r>
    </w:p>
    <w:p>
      <w:pPr>
        <w:spacing w:lineRule="exact" w:line="600" w:before="120" w:after="120"/>
        <w:ind w:firstLine="420"/>
        <w:jc w:val="left"/>
      </w:pPr>
      <w:r>
        <w:rPr>
          <w:rFonts w:ascii="楷体_GB2312" w:hAnsi="楷体_GB2312" w:eastAsia="楷体_GB2312"/>
          <w:b w:val="0"/>
          <w:color w:val="000000"/>
          <w:sz w:val="32"/>
        </w:rPr>
        <w:t>（七）经营数据与市场占有率</w:t>
      </w:r>
    </w:p>
    <w:p>
      <w:pPr>
        <w:spacing w:lineRule="exact" w:line="600" w:before="0" w:after="0"/>
        <w:ind w:firstLine="420"/>
        <w:jc w:val="both"/>
      </w:pPr>
      <w:r>
        <w:rPr>
          <w:rFonts w:ascii="仿宋_GB2312" w:hAnsi="仿宋_GB2312" w:eastAsia="仿宋_GB2312"/>
          <w:b w:val="0"/>
          <w:color w:val="000000"/>
          <w:sz w:val="32"/>
        </w:rPr>
        <w:t>公开渠道未披露公司近三年营业收入、利润等具体经营数据与市场份额。已知其糖醇总产能约10万吨级、员工约800—1,866人（不同口径），属功能性糖醇领域规模企业，但量化市占率与经营数据未公开，故不做具体表述。</w:t>
      </w:r>
    </w:p>
    <w:p>
      <w:pPr>
        <w:spacing w:lineRule="exact" w:line="600" w:before="120" w:after="120"/>
        <w:ind w:firstLine="420"/>
        <w:jc w:val="left"/>
      </w:pPr>
      <w:r>
        <w:rPr>
          <w:rFonts w:ascii="黑体" w:hAnsi="黑体" w:eastAsia="黑体"/>
          <w:b w:val="0"/>
          <w:color w:val="000000"/>
          <w:sz w:val="32"/>
        </w:rPr>
        <w:t>三、财务报表分析</w:t>
      </w:r>
    </w:p>
    <w:p>
      <w:pPr>
        <w:spacing w:lineRule="exact" w:line="600" w:before="120" w:after="120"/>
        <w:ind w:firstLine="420"/>
        <w:jc w:val="left"/>
      </w:pPr>
      <w:r>
        <w:rPr>
          <w:rFonts w:ascii="楷体_GB2312" w:hAnsi="楷体_GB2312" w:eastAsia="楷体_GB2312"/>
          <w:b w:val="0"/>
          <w:color w:val="000000"/>
          <w:sz w:val="32"/>
        </w:rPr>
        <w:t>（一）近三年主要会计数据</w:t>
      </w:r>
    </w:p>
    <w:p>
      <w:pPr>
        <w:spacing w:lineRule="exact" w:line="600" w:before="0" w:after="0"/>
        <w:ind w:firstLine="420"/>
        <w:jc w:val="both"/>
      </w:pPr>
      <w:r>
        <w:rPr>
          <w:rFonts w:ascii="仿宋_GB2312" w:hAnsi="仿宋_GB2312" w:eastAsia="仿宋_GB2312"/>
          <w:b w:val="0"/>
          <w:color w:val="000000"/>
          <w:sz w:val="32"/>
        </w:rPr>
        <w:t>寿光天力药业有限公司为非上市外商投资企业，未公开披露经审计年度财务报表，财务数据未公开披露。以下列示可公开获取的资本与人员信息：</w:t>
      </w:r>
    </w:p>
    <w:tbl>
      <w:tblPr>
        <w:tblStyle w:val="TableGrid"/>
        <w:tblW w:type="auto" w:w="0"/>
        <w:jc w:val="center"/>
        <w:tblLook w:firstColumn="1" w:firstRow="1" w:lastColumn="0" w:lastRow="0" w:noHBand="0" w:noVBand="1" w:val="04A0"/>
      </w:tblPr>
      <w:tblGrid>
        <w:gridCol w:w="4422"/>
        <w:gridCol w:w="4422"/>
      </w:tblGrid>
      <w:tr>
        <w:tc>
          <w:tcPr>
            <w:tcW w:type="dxa" w:w="2835"/>
          </w:tcPr>
          <w:p>
            <w:pPr>
              <w:spacing w:lineRule="exact" w:line="600"/>
              <w:jc w:val="center"/>
            </w:pPr>
            <w:r/>
            <w:r>
              <w:rPr>
                <w:rFonts w:ascii="黑体" w:hAnsi="黑体" w:eastAsia="黑体"/>
                <w:b/>
                <w:color w:val="000000"/>
                <w:sz w:val="32"/>
              </w:rPr>
              <w:t>指标</w:t>
            </w:r>
          </w:p>
        </w:tc>
        <w:tc>
          <w:tcPr>
            <w:tcW w:type="dxa" w:w="5669"/>
          </w:tcPr>
          <w:p>
            <w:pPr>
              <w:spacing w:lineRule="exact" w:line="600"/>
              <w:jc w:val="center"/>
            </w:pPr>
            <w:r/>
            <w:r>
              <w:rPr>
                <w:rFonts w:ascii="黑体" w:hAnsi="黑体" w:eastAsia="黑体"/>
                <w:b/>
                <w:color w:val="000000"/>
                <w:sz w:val="32"/>
              </w:rPr>
              <w:t>数据</w:t>
            </w:r>
          </w:p>
        </w:tc>
      </w:tr>
      <w:tr>
        <w:tc>
          <w:tcPr>
            <w:tcW w:type="dxa" w:w="2835"/>
          </w:tcPr>
          <w:p>
            <w:pPr>
              <w:spacing w:lineRule="exact" w:line="600"/>
              <w:jc w:val="center"/>
            </w:pPr>
            <w:r/>
            <w:r>
              <w:rPr>
                <w:rFonts w:ascii="仿宋_GB2312" w:hAnsi="仿宋_GB2312" w:eastAsia="仿宋_GB2312"/>
                <w:b w:val="0"/>
                <w:color w:val="000000"/>
                <w:sz w:val="32"/>
              </w:rPr>
              <w:t>成立时间</w:t>
            </w:r>
          </w:p>
        </w:tc>
        <w:tc>
          <w:tcPr>
            <w:tcW w:type="dxa" w:w="5669"/>
          </w:tcPr>
          <w:p>
            <w:pPr>
              <w:spacing w:lineRule="exact" w:line="600"/>
              <w:jc w:val="center"/>
            </w:pPr>
            <w:r/>
            <w:r>
              <w:rPr>
                <w:rFonts w:ascii="仿宋_GB2312" w:hAnsi="仿宋_GB2312" w:eastAsia="仿宋_GB2312"/>
                <w:b w:val="0"/>
                <w:color w:val="000000"/>
                <w:sz w:val="32"/>
              </w:rPr>
              <w:t>2004-03-18</w:t>
            </w:r>
          </w:p>
        </w:tc>
      </w:tr>
      <w:tr>
        <w:tc>
          <w:tcPr>
            <w:tcW w:type="dxa" w:w="2835"/>
          </w:tcPr>
          <w:p>
            <w:pPr>
              <w:spacing w:lineRule="exact" w:line="600"/>
              <w:jc w:val="center"/>
            </w:pPr>
            <w:r/>
            <w:r>
              <w:rPr>
                <w:rFonts w:ascii="仿宋_GB2312" w:hAnsi="仿宋_GB2312" w:eastAsia="仿宋_GB2312"/>
                <w:b w:val="0"/>
                <w:color w:val="000000"/>
                <w:sz w:val="32"/>
              </w:rPr>
              <w:t>注册资本</w:t>
            </w:r>
          </w:p>
        </w:tc>
        <w:tc>
          <w:tcPr>
            <w:tcW w:type="dxa" w:w="5669"/>
          </w:tcPr>
          <w:p>
            <w:pPr>
              <w:spacing w:lineRule="exact" w:line="600"/>
              <w:jc w:val="center"/>
            </w:pPr>
            <w:r/>
            <w:r>
              <w:rPr>
                <w:rFonts w:ascii="仿宋_GB2312" w:hAnsi="仿宋_GB2312" w:eastAsia="仿宋_GB2312"/>
                <w:b w:val="0"/>
                <w:color w:val="000000"/>
                <w:sz w:val="32"/>
              </w:rPr>
              <w:t>2,810.21万美元（已实缴）</w:t>
            </w:r>
          </w:p>
        </w:tc>
      </w:tr>
      <w:tr>
        <w:tc>
          <w:tcPr>
            <w:tcW w:type="dxa" w:w="2835"/>
          </w:tcPr>
          <w:p>
            <w:pPr>
              <w:spacing w:lineRule="exact" w:line="600"/>
              <w:jc w:val="center"/>
            </w:pPr>
            <w:r/>
            <w:r>
              <w:rPr>
                <w:rFonts w:ascii="仿宋_GB2312" w:hAnsi="仿宋_GB2312" w:eastAsia="仿宋_GB2312"/>
                <w:b w:val="0"/>
                <w:color w:val="000000"/>
                <w:sz w:val="32"/>
              </w:rPr>
              <w:t>企业类型</w:t>
            </w:r>
          </w:p>
        </w:tc>
        <w:tc>
          <w:tcPr>
            <w:tcW w:type="dxa" w:w="5669"/>
          </w:tcPr>
          <w:p>
            <w:pPr>
              <w:spacing w:lineRule="exact" w:line="600"/>
              <w:jc w:val="center"/>
            </w:pPr>
            <w:r/>
            <w:r>
              <w:rPr>
                <w:rFonts w:ascii="仿宋_GB2312" w:hAnsi="仿宋_GB2312" w:eastAsia="仿宋_GB2312"/>
                <w:b w:val="0"/>
                <w:color w:val="000000"/>
                <w:sz w:val="32"/>
              </w:rPr>
              <w:t>有限责任公司（外商投资、非独资）</w:t>
            </w:r>
          </w:p>
        </w:tc>
      </w:tr>
      <w:tr>
        <w:tc>
          <w:tcPr>
            <w:tcW w:type="dxa" w:w="2835"/>
          </w:tcPr>
          <w:p>
            <w:pPr>
              <w:spacing w:lineRule="exact" w:line="600"/>
              <w:jc w:val="center"/>
            </w:pPr>
            <w:r/>
            <w:r>
              <w:rPr>
                <w:rFonts w:ascii="仿宋_GB2312" w:hAnsi="仿宋_GB2312" w:eastAsia="仿宋_GB2312"/>
                <w:b w:val="0"/>
                <w:color w:val="000000"/>
                <w:sz w:val="32"/>
              </w:rPr>
              <w:t>法定代表人</w:t>
            </w:r>
          </w:p>
        </w:tc>
        <w:tc>
          <w:tcPr>
            <w:tcW w:type="dxa" w:w="5669"/>
          </w:tcPr>
          <w:p>
            <w:pPr>
              <w:spacing w:lineRule="exact" w:line="600"/>
              <w:jc w:val="center"/>
            </w:pPr>
            <w:r/>
            <w:r>
              <w:rPr>
                <w:rFonts w:ascii="仿宋_GB2312" w:hAnsi="仿宋_GB2312" w:eastAsia="仿宋_GB2312"/>
                <w:b w:val="0"/>
                <w:color w:val="000000"/>
                <w:sz w:val="32"/>
              </w:rPr>
              <w:t>王新建</w:t>
            </w:r>
          </w:p>
        </w:tc>
      </w:tr>
      <w:tr>
        <w:tc>
          <w:tcPr>
            <w:tcW w:type="dxa" w:w="2835"/>
          </w:tcPr>
          <w:p>
            <w:pPr>
              <w:spacing w:lineRule="exact" w:line="600"/>
              <w:jc w:val="center"/>
            </w:pPr>
            <w:r/>
            <w:r>
              <w:rPr>
                <w:rFonts w:ascii="仿宋_GB2312" w:hAnsi="仿宋_GB2312" w:eastAsia="仿宋_GB2312"/>
                <w:b w:val="0"/>
                <w:color w:val="000000"/>
                <w:sz w:val="32"/>
              </w:rPr>
              <w:t>参保人数</w:t>
            </w:r>
          </w:p>
        </w:tc>
        <w:tc>
          <w:tcPr>
            <w:tcW w:type="dxa" w:w="5669"/>
          </w:tcPr>
          <w:p>
            <w:pPr>
              <w:spacing w:lineRule="exact" w:line="600"/>
              <w:jc w:val="center"/>
            </w:pPr>
            <w:r/>
            <w:r>
              <w:rPr>
                <w:rFonts w:ascii="仿宋_GB2312" w:hAnsi="仿宋_GB2312" w:eastAsia="仿宋_GB2312"/>
                <w:b w:val="0"/>
                <w:color w:val="000000"/>
                <w:sz w:val="32"/>
              </w:rPr>
              <w:t>约1,866人（2025年年报）</w:t>
            </w:r>
          </w:p>
        </w:tc>
      </w:tr>
      <w:tr>
        <w:tc>
          <w:tcPr>
            <w:tcW w:type="dxa" w:w="2835"/>
          </w:tcPr>
          <w:p>
            <w:pPr>
              <w:spacing w:lineRule="exact" w:line="600"/>
              <w:jc w:val="center"/>
            </w:pPr>
            <w:r/>
            <w:r>
              <w:rPr>
                <w:rFonts w:ascii="仿宋_GB2312" w:hAnsi="仿宋_GB2312" w:eastAsia="仿宋_GB2312"/>
                <w:b w:val="0"/>
                <w:color w:val="000000"/>
                <w:sz w:val="32"/>
              </w:rPr>
              <w:t>资质</w:t>
            </w:r>
          </w:p>
        </w:tc>
        <w:tc>
          <w:tcPr>
            <w:tcW w:type="dxa" w:w="5669"/>
          </w:tcPr>
          <w:p>
            <w:pPr>
              <w:spacing w:lineRule="exact" w:line="600"/>
              <w:jc w:val="center"/>
            </w:pPr>
            <w:r/>
            <w:r>
              <w:rPr>
                <w:rFonts w:ascii="仿宋_GB2312" w:hAnsi="仿宋_GB2312" w:eastAsia="仿宋_GB2312"/>
                <w:b w:val="0"/>
                <w:color w:val="000000"/>
                <w:sz w:val="32"/>
              </w:rPr>
              <w:t>高新技术企业、制造业单项冠军</w:t>
            </w:r>
          </w:p>
        </w:tc>
      </w:tr>
    </w:tbl>
    <w:p>
      <w:pPr>
        <w:spacing w:lineRule="exact" w:line="600" w:before="120" w:after="120"/>
        <w:ind w:firstLine="420"/>
        <w:jc w:val="left"/>
      </w:pPr>
      <w:r>
        <w:rPr>
          <w:rFonts w:ascii="楷体_GB2312" w:hAnsi="楷体_GB2312" w:eastAsia="楷体_GB2312"/>
          <w:b w:val="0"/>
          <w:color w:val="000000"/>
          <w:sz w:val="32"/>
        </w:rPr>
        <w:t>（二）至（六）说明</w:t>
      </w:r>
    </w:p>
    <w:p>
      <w:pPr>
        <w:spacing w:lineRule="exact" w:line="600" w:before="0" w:after="0"/>
        <w:ind w:firstLine="420"/>
        <w:jc w:val="both"/>
      </w:pPr>
      <w:r>
        <w:rPr>
          <w:rFonts w:ascii="仿宋_GB2312" w:hAnsi="仿宋_GB2312" w:eastAsia="仿宋_GB2312"/>
          <w:b w:val="0"/>
          <w:color w:val="000000"/>
          <w:sz w:val="32"/>
        </w:rPr>
        <w:t>因财务数据未公开披露，盈利能力、资产质量、负债与偿债、现金流等关键指标无法量化。作为成熟的功能性配料生产企业，其经营稳定性依托规模客户与认证体系；资本实力以注册资本2,810.21万美元及约10万吨级产能为参照。建议获取审计报告或银行流水后补充分析。</w:t>
      </w:r>
    </w:p>
    <w:p>
      <w:pPr>
        <w:spacing w:lineRule="exact" w:line="600" w:before="120" w:after="120"/>
        <w:ind w:firstLine="420"/>
        <w:jc w:val="left"/>
      </w:pPr>
      <w:r>
        <w:rPr>
          <w:rFonts w:ascii="黑体" w:hAnsi="黑体" w:eastAsia="黑体"/>
          <w:b w:val="0"/>
          <w:color w:val="000000"/>
          <w:sz w:val="32"/>
        </w:rPr>
        <w:t>四、公司治理、管理与人力资源</w:t>
      </w:r>
    </w:p>
    <w:p>
      <w:pPr>
        <w:spacing w:lineRule="exact" w:line="600" w:before="120" w:after="120"/>
        <w:ind w:firstLine="420"/>
        <w:jc w:val="left"/>
      </w:pPr>
      <w:r>
        <w:rPr>
          <w:rFonts w:ascii="楷体_GB2312" w:hAnsi="楷体_GB2312" w:eastAsia="楷体_GB2312"/>
          <w:b w:val="0"/>
          <w:color w:val="000000"/>
          <w:sz w:val="32"/>
        </w:rPr>
        <w:t>（一）治理结构</w:t>
      </w:r>
    </w:p>
    <w:p>
      <w:pPr>
        <w:spacing w:lineRule="exact" w:line="600" w:before="0" w:after="0"/>
        <w:ind w:firstLine="420"/>
        <w:jc w:val="both"/>
      </w:pPr>
      <w:r>
        <w:rPr>
          <w:rFonts w:ascii="仿宋_GB2312" w:hAnsi="仿宋_GB2312" w:eastAsia="仿宋_GB2312"/>
          <w:b w:val="0"/>
          <w:color w:val="000000"/>
          <w:sz w:val="32"/>
        </w:rPr>
        <w:t>公司为外商投资非独资企业，法定代表人王新建，设董事会/管理层与监事架构（具体未公开）。作为外资背景制造企业，治理相对规范，接受商务、药监、食安等多部门监管。</w:t>
      </w:r>
    </w:p>
    <w:p>
      <w:pPr>
        <w:spacing w:lineRule="exact" w:line="600" w:before="120" w:after="120"/>
        <w:ind w:firstLine="420"/>
        <w:jc w:val="left"/>
      </w:pPr>
      <w:r>
        <w:rPr>
          <w:rFonts w:ascii="楷体_GB2312" w:hAnsi="楷体_GB2312" w:eastAsia="楷体_GB2312"/>
          <w:b w:val="0"/>
          <w:color w:val="000000"/>
          <w:sz w:val="32"/>
        </w:rPr>
        <w:t>（二）管理层</w:t>
      </w:r>
    </w:p>
    <w:p>
      <w:pPr>
        <w:spacing w:lineRule="exact" w:line="600" w:before="0" w:after="0"/>
        <w:ind w:firstLine="420"/>
        <w:jc w:val="both"/>
      </w:pPr>
      <w:r>
        <w:rPr>
          <w:rFonts w:ascii="仿宋_GB2312" w:hAnsi="仿宋_GB2312" w:eastAsia="仿宋_GB2312"/>
          <w:b w:val="0"/>
          <w:color w:val="000000"/>
          <w:sz w:val="32"/>
        </w:rPr>
        <w:t>法定代表人、核心管理者王新建主导公司经营。具体高管团队与外资方背景未公开披露。</w:t>
      </w:r>
    </w:p>
    <w:p>
      <w:pPr>
        <w:spacing w:lineRule="exact" w:line="600" w:before="120" w:after="120"/>
        <w:ind w:firstLine="420"/>
        <w:jc w:val="left"/>
      </w:pPr>
      <w:r>
        <w:rPr>
          <w:rFonts w:ascii="楷体_GB2312" w:hAnsi="楷体_GB2312" w:eastAsia="楷体_GB2312"/>
          <w:b w:val="0"/>
          <w:color w:val="000000"/>
          <w:sz w:val="32"/>
        </w:rPr>
        <w:t>（三）组织与内控</w:t>
      </w:r>
    </w:p>
    <w:p>
      <w:pPr>
        <w:spacing w:lineRule="exact" w:line="600" w:before="0" w:after="0"/>
        <w:ind w:firstLine="420"/>
        <w:jc w:val="both"/>
      </w:pPr>
      <w:r>
        <w:rPr>
          <w:rFonts w:ascii="仿宋_GB2312" w:hAnsi="仿宋_GB2312" w:eastAsia="仿宋_GB2312"/>
          <w:b w:val="0"/>
          <w:color w:val="000000"/>
          <w:sz w:val="32"/>
        </w:rPr>
        <w:t>公司通过ISO9001、ISO22000、FSSC22000、BRC、KOSHER、HALAL等多项体系与产品认证，建立从原料到出厂的全链条质控体系，每批次产品检测合格方可出厂，内控与质量体系较为完善。</w:t>
      </w:r>
    </w:p>
    <w:p>
      <w:pPr>
        <w:spacing w:lineRule="exact" w:line="600" w:before="120" w:after="120"/>
        <w:ind w:firstLine="420"/>
        <w:jc w:val="left"/>
      </w:pPr>
      <w:r>
        <w:rPr>
          <w:rFonts w:ascii="楷体_GB2312" w:hAnsi="楷体_GB2312" w:eastAsia="楷体_GB2312"/>
          <w:b w:val="0"/>
          <w:color w:val="000000"/>
          <w:sz w:val="32"/>
        </w:rPr>
        <w:t>（四）人力资源</w:t>
      </w:r>
    </w:p>
    <w:p>
      <w:pPr>
        <w:spacing w:lineRule="exact" w:line="600" w:before="0" w:after="0"/>
        <w:ind w:firstLine="420"/>
        <w:jc w:val="both"/>
      </w:pPr>
      <w:r>
        <w:rPr>
          <w:rFonts w:ascii="仿宋_GB2312" w:hAnsi="仿宋_GB2312" w:eastAsia="仿宋_GB2312"/>
          <w:b w:val="0"/>
          <w:color w:val="000000"/>
          <w:sz w:val="32"/>
        </w:rPr>
        <w:t>参保人数约1,866人（2025年年报），属劳动与技术复合密集型制造企业。公司设有技术研发中心，配备精密检测仪器，技术团队支撑产品应用与客户服务。</w:t>
      </w:r>
    </w:p>
    <w:p>
      <w:pPr>
        <w:spacing w:lineRule="exact" w:line="600" w:before="120" w:after="120"/>
        <w:ind w:firstLine="420"/>
        <w:jc w:val="left"/>
      </w:pPr>
      <w:r>
        <w:rPr>
          <w:rFonts w:ascii="黑体" w:hAnsi="黑体" w:eastAsia="黑体"/>
          <w:b w:val="0"/>
          <w:color w:val="000000"/>
          <w:sz w:val="32"/>
        </w:rPr>
        <w:t>五、核心竞争力（护城河）</w:t>
      </w:r>
    </w:p>
    <w:p>
      <w:pPr>
        <w:spacing w:lineRule="exact" w:line="600" w:before="0" w:after="0"/>
        <w:ind w:firstLine="420"/>
        <w:jc w:val="both"/>
      </w:pPr>
      <w:r>
        <w:rPr>
          <w:rFonts w:ascii="仿宋_GB2312" w:hAnsi="仿宋_GB2312" w:eastAsia="仿宋_GB2312"/>
          <w:b w:val="0"/>
          <w:color w:val="000000"/>
          <w:sz w:val="32"/>
        </w:rPr>
        <w:t>一是产品矩阵与规模壁垒：全系列糖醇与功能性糖产能约10万吨级，单品（山梨醇8万吨、甘露醇3万吨等）规模居国内前列。二是客户与认证壁垒：服务双汇、雀巢、联合利华等头部客户，持有FSSC22000、BRC、KOSHER、HALAL等国际认证，构筑出口与高端客户准入壁垒。三是工艺与质量壁垒：连续高压加氢等核心工艺、DCS自控与全项检测能力保障产品纯度与批次稳定性。四是产业链协同壁垒：位于寿光玉米深加工集群，原料与产业链配套便利。</w:t>
      </w:r>
    </w:p>
    <w:p>
      <w:pPr>
        <w:spacing w:lineRule="exact" w:line="600" w:before="120" w:after="120"/>
        <w:ind w:firstLine="420"/>
        <w:jc w:val="left"/>
      </w:pPr>
      <w:r>
        <w:rPr>
          <w:rFonts w:ascii="黑体" w:hAnsi="黑体" w:eastAsia="黑体"/>
          <w:b w:val="0"/>
          <w:color w:val="000000"/>
          <w:sz w:val="32"/>
        </w:rPr>
        <w:t>六、风险分析</w:t>
      </w:r>
    </w:p>
    <w:p>
      <w:pPr>
        <w:spacing w:lineRule="exact" w:line="600" w:before="120" w:after="120"/>
        <w:ind w:firstLine="420"/>
        <w:jc w:val="left"/>
      </w:pPr>
      <w:r>
        <w:rPr>
          <w:rFonts w:ascii="楷体_GB2312" w:hAnsi="楷体_GB2312" w:eastAsia="楷体_GB2312"/>
          <w:b w:val="0"/>
          <w:color w:val="000000"/>
          <w:sz w:val="32"/>
        </w:rPr>
        <w:t>（一）行业与经营风险</w:t>
      </w:r>
    </w:p>
    <w:p>
      <w:pPr>
        <w:spacing w:lineRule="exact" w:line="600" w:before="0" w:after="0"/>
        <w:ind w:firstLine="420"/>
        <w:jc w:val="both"/>
      </w:pPr>
      <w:r>
        <w:rPr>
          <w:rFonts w:ascii="仿宋_GB2312" w:hAnsi="仿宋_GB2312" w:eastAsia="仿宋_GB2312"/>
          <w:b w:val="0"/>
          <w:color w:val="000000"/>
          <w:sz w:val="32"/>
        </w:rPr>
        <w:t>糖醇行业受赤藓糖醇等品类前期限产扩能后的价格周期影响，竞争激烈；原料（淀粉/木薯）价格波动影响成本；出口业务受国际贸易与汇率波动影响。</w:t>
      </w:r>
    </w:p>
    <w:p>
      <w:pPr>
        <w:spacing w:lineRule="exact" w:line="600" w:before="120" w:after="120"/>
        <w:ind w:firstLine="420"/>
        <w:jc w:val="left"/>
      </w:pPr>
      <w:r>
        <w:rPr>
          <w:rFonts w:ascii="楷体_GB2312" w:hAnsi="楷体_GB2312" w:eastAsia="楷体_GB2312"/>
          <w:b w:val="0"/>
          <w:color w:val="000000"/>
          <w:sz w:val="32"/>
        </w:rPr>
        <w:t>（二）财务与合规风险</w:t>
      </w:r>
    </w:p>
    <w:p>
      <w:pPr>
        <w:spacing w:lineRule="exact" w:line="600" w:before="0" w:after="0"/>
        <w:ind w:firstLine="420"/>
        <w:jc w:val="both"/>
      </w:pPr>
      <w:r>
        <w:rPr>
          <w:rFonts w:ascii="仿宋_GB2312" w:hAnsi="仿宋_GB2312" w:eastAsia="仿宋_GB2312"/>
          <w:b w:val="0"/>
          <w:color w:val="000000"/>
          <w:sz w:val="32"/>
        </w:rPr>
        <w:t>公开信息显示公司存在一定数量的立案信息与开庭公告（爱企查显示立案约25件、涉诉关系约13起），并有1次行政处罚记录，需关注合同履约与经营合规。作为非上市外资企业，财务透明度有限。</w:t>
      </w:r>
    </w:p>
    <w:p>
      <w:pPr>
        <w:spacing w:lineRule="exact" w:line="600" w:before="120" w:after="120"/>
        <w:ind w:firstLine="420"/>
        <w:jc w:val="left"/>
      </w:pPr>
      <w:r>
        <w:rPr>
          <w:rFonts w:ascii="楷体_GB2312" w:hAnsi="楷体_GB2312" w:eastAsia="楷体_GB2312"/>
          <w:b w:val="0"/>
          <w:color w:val="000000"/>
          <w:sz w:val="32"/>
        </w:rPr>
        <w:t>（三）应对措施</w:t>
      </w:r>
    </w:p>
    <w:p>
      <w:pPr>
        <w:spacing w:lineRule="exact" w:line="600" w:before="0" w:after="0"/>
        <w:ind w:firstLine="420"/>
        <w:jc w:val="both"/>
      </w:pPr>
      <w:r>
        <w:rPr>
          <w:rFonts w:ascii="仿宋_GB2312" w:hAnsi="仿宋_GB2312" w:eastAsia="仿宋_GB2312"/>
          <w:b w:val="0"/>
          <w:color w:val="000000"/>
          <w:sz w:val="32"/>
        </w:rPr>
        <w:t>公司通过全品类布局分散单一品类周期风险、绑定头部客户稳定订单、以国际认证巩固出口优势，并完善质控与合规管理。</w:t>
      </w:r>
    </w:p>
    <w:p>
      <w:pPr>
        <w:spacing w:lineRule="exact" w:line="600" w:before="120" w:after="120"/>
        <w:ind w:firstLine="420"/>
        <w:jc w:val="left"/>
      </w:pPr>
      <w:r>
        <w:rPr>
          <w:rFonts w:ascii="黑体" w:hAnsi="黑体" w:eastAsia="黑体"/>
          <w:b w:val="0"/>
          <w:color w:val="000000"/>
          <w:sz w:val="32"/>
        </w:rPr>
        <w:t>七、融资需求（与山东投资协同）</w:t>
      </w:r>
    </w:p>
    <w:p>
      <w:pPr>
        <w:spacing w:lineRule="exact" w:line="600" w:before="0" w:after="0"/>
        <w:ind w:firstLine="420"/>
        <w:jc w:val="both"/>
      </w:pPr>
      <w:r>
        <w:rPr>
          <w:rFonts w:ascii="仿宋_GB2312" w:hAnsi="仿宋_GB2312" w:eastAsia="仿宋_GB2312"/>
          <w:b w:val="0"/>
          <w:color w:val="000000"/>
          <w:sz w:val="32"/>
        </w:rPr>
        <w:t>针对公司原料采购与出口备货占用资金、客户多为大型企业的特点，山东投资可切入：一是供应链金融，围绕玉米/木薯淀粉采购与糖醇销售提供保理与预付融资；二是商业保理，盘活其对双汇、雀巢等优质客户的应收账款；三是融资租赁，支持其精制提纯与自动化产线技改；四是小额贷款，满足临时性流动资金周转。公司客户资质优、认证齐全，应收账款质量较好，风控可侧重核心客户确权。</w:t>
      </w:r>
    </w:p>
    <w:p>
      <w:pPr>
        <w:spacing w:lineRule="exact" w:line="600" w:before="120" w:after="120"/>
        <w:ind w:firstLine="420"/>
        <w:jc w:val="left"/>
      </w:pPr>
      <w:r>
        <w:rPr>
          <w:rFonts w:ascii="黑体" w:hAnsi="黑体" w:eastAsia="黑体"/>
          <w:b w:val="0"/>
          <w:color w:val="000000"/>
          <w:sz w:val="32"/>
        </w:rPr>
        <w:t>八、综合评价、发展展望与建议</w:t>
      </w:r>
    </w:p>
    <w:p>
      <w:pPr>
        <w:spacing w:lineRule="exact" w:line="600" w:before="120" w:after="120"/>
        <w:ind w:firstLine="420"/>
        <w:jc w:val="left"/>
      </w:pPr>
      <w:r>
        <w:rPr>
          <w:rFonts w:ascii="楷体_GB2312" w:hAnsi="楷体_GB2312" w:eastAsia="楷体_GB2312"/>
          <w:b w:val="0"/>
          <w:color w:val="000000"/>
          <w:sz w:val="32"/>
        </w:rPr>
        <w:t>（一）综合小结</w:t>
      </w:r>
    </w:p>
    <w:p>
      <w:pPr>
        <w:spacing w:lineRule="exact" w:line="600" w:before="0" w:after="0"/>
        <w:ind w:firstLine="420"/>
        <w:jc w:val="both"/>
      </w:pPr>
      <w:r>
        <w:rPr>
          <w:rFonts w:ascii="仿宋_GB2312" w:hAnsi="仿宋_GB2312" w:eastAsia="仿宋_GB2312"/>
          <w:b w:val="0"/>
          <w:color w:val="000000"/>
          <w:sz w:val="32"/>
        </w:rPr>
        <w:t>寿光天力药业有限公司是寿光生物基新材料及功能性配料领域的重要企业，全系列糖醇规模与高端客户、国际认证构成核心优势，经营基本面较扎实。财务透明度低与诉讼合规风险需关注。</w:t>
      </w:r>
    </w:p>
    <w:p>
      <w:pPr>
        <w:spacing w:lineRule="exact" w:line="600" w:before="120" w:after="120"/>
        <w:ind w:firstLine="420"/>
        <w:jc w:val="left"/>
      </w:pPr>
      <w:r>
        <w:rPr>
          <w:rFonts w:ascii="楷体_GB2312" w:hAnsi="楷体_GB2312" w:eastAsia="楷体_GB2312"/>
          <w:b w:val="0"/>
          <w:color w:val="000000"/>
          <w:sz w:val="32"/>
        </w:rPr>
        <w:t>（二）未来发展</w:t>
      </w:r>
    </w:p>
    <w:p>
      <w:pPr>
        <w:spacing w:lineRule="exact" w:line="600" w:before="0" w:after="0"/>
        <w:ind w:firstLine="420"/>
        <w:jc w:val="both"/>
      </w:pPr>
      <w:r>
        <w:rPr>
          <w:rFonts w:ascii="仿宋_GB2312" w:hAnsi="仿宋_GB2312" w:eastAsia="仿宋_GB2312"/>
          <w:b w:val="0"/>
          <w:color w:val="000000"/>
          <w:sz w:val="32"/>
        </w:rPr>
        <w:t>据行业趋势，无糖、健康食品与功能性配料需求持续增长，公司糖醇与膳食纤维产品有望稳健扩张；出口市场与高端客户绑定将支撑增长。</w:t>
      </w:r>
    </w:p>
    <w:p>
      <w:pPr>
        <w:spacing w:lineRule="exact" w:line="600" w:before="120" w:after="120"/>
        <w:ind w:firstLine="420"/>
        <w:jc w:val="left"/>
      </w:pPr>
      <w:r>
        <w:rPr>
          <w:rFonts w:ascii="楷体_GB2312" w:hAnsi="楷体_GB2312" w:eastAsia="楷体_GB2312"/>
          <w:b w:val="0"/>
          <w:color w:val="000000"/>
          <w:sz w:val="32"/>
        </w:rPr>
        <w:t>（三）挑战</w:t>
      </w:r>
    </w:p>
    <w:p>
      <w:pPr>
        <w:spacing w:lineRule="exact" w:line="600" w:before="0" w:after="0"/>
        <w:ind w:firstLine="420"/>
        <w:jc w:val="both"/>
      </w:pPr>
      <w:r>
        <w:rPr>
          <w:rFonts w:ascii="仿宋_GB2312" w:hAnsi="仿宋_GB2312" w:eastAsia="仿宋_GB2312"/>
          <w:b w:val="0"/>
          <w:color w:val="000000"/>
          <w:sz w:val="32"/>
        </w:rPr>
        <w:t>主要挑战在于糖醇品类价格周期、原料成本波动、出口贸易环境与合规诉讼风险。</w:t>
      </w:r>
    </w:p>
    <w:p>
      <w:pPr>
        <w:spacing w:lineRule="exact" w:line="600" w:before="120" w:after="120"/>
        <w:ind w:firstLine="420"/>
        <w:jc w:val="left"/>
      </w:pPr>
      <w:r>
        <w:rPr>
          <w:rFonts w:ascii="楷体_GB2312" w:hAnsi="楷体_GB2312" w:eastAsia="楷体_GB2312"/>
          <w:b w:val="0"/>
          <w:color w:val="000000"/>
          <w:sz w:val="32"/>
        </w:rPr>
        <w:t>（四）结论与建议</w:t>
      </w:r>
    </w:p>
    <w:p>
      <w:pPr>
        <w:spacing w:lineRule="exact" w:line="600" w:before="0" w:after="0"/>
        <w:ind w:firstLine="420"/>
        <w:jc w:val="both"/>
      </w:pPr>
      <w:r>
        <w:rPr>
          <w:rFonts w:ascii="仿宋_GB2312" w:hAnsi="仿宋_GB2312" w:eastAsia="仿宋_GB2312"/>
          <w:b w:val="0"/>
          <w:color w:val="000000"/>
          <w:sz w:val="32"/>
        </w:rPr>
        <w:t>建议山东投资将其作为功能性配料产业链的优质合作客户，优先以商业保理（盘活优质应收账款）与供应链金融切入，依托其核心客户信用控制风险；介入前建议获取征信与诉讼核查。综合评级：客户优质、资质完备的稳健合作型客户。</w:t>
      </w:r>
    </w:p>
    <w:p>
      <w:pPr>
        <w:spacing w:lineRule="exact" w:line="600" w:before="0" w:after="0"/>
        <w:jc w:val="left"/>
      </w:pPr>
      <w:r>
        <w:rPr>
          <w:rFonts w:ascii="仿宋_GB2312" w:hAnsi="仿宋_GB2312" w:eastAsia="仿宋_GB2312"/>
          <w:b w:val="0"/>
          <w:color w:val="000000"/>
          <w:sz w:val="28"/>
        </w:rPr>
        <w:t>数据来源说明：本报告数据来源于爱企查/天眼查工商与知识产权信息、公开行业平台（食品配料供应商盘点类报道）及媒体报道。财务数据因非上市未公开披露，已如实标注，未编造具体数字。</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