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寿光市生物基新材料特色产业集群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山东寿光巨能金玉米开发有限公司企业分析报告</w:t>
      </w:r>
    </w:p>
    <w:p>
      <w:pPr>
        <w:spacing w:lineRule="exact" w:line="600" w:before="0" w:after="0"/>
        <w:jc w:val="left"/>
      </w:pPr>
      <w:r>
        <w:rPr>
          <w:rFonts w:ascii="仿宋_GB2312" w:hAnsi="仿宋_GB2312" w:eastAsia="仿宋_GB2312"/>
          <w:b w:val="0"/>
          <w:color w:val="000000"/>
          <w:sz w:val="28"/>
        </w:rPr>
        <w:t>（本报告基于公司官网、港交所（HKEX）披露易年报与中期报告、爱企查/天眼查工商信息、百度百科及公开媒体报道等公开渠道整理，统计时点截至最新披露信息。山东寿光巨能金玉米开发有限公司为港交所上市公司中国淀粉控股有限公司（03838.HK）的核心运营主体，其财务数据采用中国淀粉控股有限公司合并口径公开披露数据。部分细分业务数据未公开，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寿光巨能金玉米开发有限公司（曾用名：山东巨能电力集团金玉米开发有限公司）成立于1998年7月25日，统一社会信用代码为913707001656976271，法定代表人为高世军，董事长为田其祥。公司注册地址位于山东省潍坊市寿光市古城街道安顺街以北、兴源路以西，登记机关为寿光市市场监督管理局，营业期限自1998年7月25日至无固定期限。</w:t>
      </w:r>
    </w:p>
    <w:p>
      <w:pPr>
        <w:spacing w:lineRule="exact" w:line="600" w:before="0" w:after="0"/>
        <w:ind w:firstLine="420"/>
        <w:jc w:val="both"/>
      </w:pPr>
      <w:r>
        <w:rPr>
          <w:rFonts w:ascii="仿宋_GB2312" w:hAnsi="仿宋_GB2312" w:eastAsia="仿宋_GB2312"/>
          <w:b w:val="0"/>
          <w:color w:val="000000"/>
          <w:sz w:val="32"/>
        </w:rPr>
        <w:t>公司企业类型为有限责任公司（外国法人独资），注册资本70,000万元人民币（已全额实缴），所属行业为农副食品加工业。股东及实际控制人为Sourcestar Worldwide Inc，持股比例为100%，为外商独资企业。公司参保人数约1,096人（2025年年报口径），官网披露员工约2,300人。公司系山东省农业产业化重点龙头企业、国家高新技术企业、国家绿色工厂、山东省制造业单项冠军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作为港交所上市公司中国淀粉控股有限公司（股份代号：03838.HK，于开曼群岛注册，2007年9月27日在香港联交所主板上市）的核心运营主体，下辖临清德能金玉米生物有限公司、寿光金远东变性淀粉有限公司、寿光金玉米生物科技有限公司等子公司，拥有寿光与临清两大生产基地。集团通过母子架构实现玉米深加工全产业链布局，临清基地承担部分淀粉及深加工产能，与寿光基地形成协同。</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1998年7月，公司前身山东巨能电力集团金玉米开发有限公司成立，以玉米淀粉起步；2007年9月，依托红筹架构以"中国淀粉控股有限公司"名义在港交所主板上市，成为国内玉米深加工行业较早登陆资本市场的企业之一。此后公司持续扩张产能，截至2023年底赖氨酸年产能增至50万吨；同时向上游单体与下游新材料延伸，布局D-乳酸、聚乳酸（PLA）、生物基热塑复合材料、生物基尼龙等生物基新材料，形成"玉米—淀粉—氨基酸—乳酸—聚乳酸—生物基材料"全产业链。</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以农产品（玉米）深加工为主导的综合型生物制造大型企业集团，是寿光市生物基新材料特色产业集群的链主企业。主营业务涵盖玉米淀粉及副产品、变性淀粉、氨基酸（赖氨酸、L-苏氨酸、L-色氨酸、核黄素等）、淀粉糖、乳酸、聚乳酸、生物质热塑复合材料、生物基尼龙新材料，以及有机肥、生物菌肥、热力供应等。核心产品包括"圣玉"牌玉米淀粉（2005年获"中国名牌产品"）、赖氨酸、D-乳酸及聚乳酸系列生物基材料。</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按中国淀粉控股披露的分部口径，公司业务分为"上游产品"（玉米淀粉、变性淀粉、赖氨酸、淀粉糖等大宗商品）与"发酵及下游产品"（乳酸、聚乳酸、生物基材料等）两大板块。2023年向外客户销售中，上游产品收入约85.97亿元，发酵及下游产品约32.01亿元；2024年上半年上游产品收入约35.24亿元，发酵及下游产品约21.21亿元。下游高附加值生物基材料占比稳步提升，是公司对抗大宗商品周期波动、提升盈利质量的重要方向。</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公司现已形成年加工玉米360万—370万吨、年产玉米淀粉约260万吨、变性淀粉约10万吨、赖氨酸约50万吨（2023年底产能）、淀粉糖约15万吨、D-乳酸约1万吨、生物质热塑复合材料约3万吨的生产规模。"圣玉"牌玉米淀粉为行业标杆产品，赖氨酸连续多年获"山东省名牌产品"，D-乳酸产品于2024年市场占有率位居行业首位。</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销售网络以寿光为中心，覆盖国内20多个省市，并出口韩国、日本、东南亚及欧美等20多个国家和地区。下游客户覆盖食品、饲料、造纸、医药、化工等多个行业。2025年海外订单签单量高于上年同期，远期订单已排产至当年11月，显示出较强的海外市场需求韧性。</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采购玉米等农产品原料，年加工玉米超过360万吨，对上游粮食供应链依赖度高。原料成本受国内玉米种植面积、收储政策及国际粮价波动影响显著，是公司成本端的核心变量。公司通过临清、寿光两大基地就近布局，优化原料收储半径，并在部分环节自建热源与动力系统以降低能源成本。</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寿光、临清两大生产基地，配套博士后科研工作站、省级企业技术中心、省级工业设计中心等10个研发平台。公司持有ISO9001、ISO22000、ISO14001、ISO45001、IP非转基因、FAMI-QS、MUI-HALAL等多项体系认证，系国家级绿色工厂、国家知识产权优势企业，并承担省级创新研发项目50余项，参与编制和修订国家及行业标准16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国内经销+直供+出口"的复合销售模式，国内以区域经销商与大型终端直供相结合，海外通过贸易商及Direct订单覆盖。销售团队依托品牌与规模优势维护大客户关系，同时积极拓展生物基可降解材料等高附加值产品的直销渠道。</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中国轻工业联合会排名，2024年公司在生物发酵行业综合排名全国第四。细分产品市场地位突出：2024年D-乳酸产品市场占有率位居行业首位，赖氨酸产品位列行业第三，玉米淀粉和变性淀粉产品分别位居行业第五和第七。2025年1—5月，公司实现营业收入50.07亿元、利润总额2.88亿元，输出创汇1,880万美元。</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以下数据采用中国淀粉控股有限公司（03838.HK）合并口径公开披露数据（单位：人民币亿元；毛利率、资产负债率单位为%）：</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指标</w:t>
            </w:r>
          </w:p>
        </w:tc>
        <w:tc>
          <w:tcPr>
            <w:tcW w:type="dxa" w:w="1984"/>
          </w:tcPr>
          <w:p>
            <w:pPr>
              <w:spacing w:lineRule="exact" w:line="600"/>
              <w:jc w:val="center"/>
            </w:pPr>
            <w:r/>
            <w:r>
              <w:rPr>
                <w:rFonts w:ascii="黑体" w:hAnsi="黑体" w:eastAsia="黑体"/>
                <w:b/>
                <w:color w:val="000000"/>
                <w:sz w:val="32"/>
              </w:rPr>
              <w:t>2023年</w:t>
            </w:r>
          </w:p>
        </w:tc>
        <w:tc>
          <w:tcPr>
            <w:tcW w:type="dxa" w:w="1984"/>
          </w:tcPr>
          <w:p>
            <w:pPr>
              <w:spacing w:lineRule="exact" w:line="600"/>
              <w:jc w:val="center"/>
            </w:pPr>
            <w:r/>
            <w:r>
              <w:rPr>
                <w:rFonts w:ascii="黑体" w:hAnsi="黑体" w:eastAsia="黑体"/>
                <w:b/>
                <w:color w:val="000000"/>
                <w:sz w:val="32"/>
              </w:rPr>
              <w:t>2024年</w:t>
            </w:r>
          </w:p>
        </w:tc>
        <w:tc>
          <w:tcPr>
            <w:tcW w:type="dxa" w:w="1984"/>
          </w:tcPr>
          <w:p>
            <w:pPr>
              <w:spacing w:lineRule="exact" w:line="600"/>
              <w:jc w:val="center"/>
            </w:pPr>
            <w:r/>
            <w:r>
              <w:rPr>
                <w:rFonts w:ascii="黑体" w:hAnsi="黑体" w:eastAsia="黑体"/>
                <w:b/>
                <w:color w:val="000000"/>
                <w:sz w:val="32"/>
              </w:rPr>
              <w:t>2025年</w:t>
            </w:r>
          </w:p>
        </w:tc>
      </w:tr>
      <w:tr>
        <w:tc>
          <w:tcPr>
            <w:tcW w:type="dxa" w:w="2835"/>
          </w:tcPr>
          <w:p>
            <w:pPr>
              <w:spacing w:lineRule="exact" w:line="600"/>
              <w:jc w:val="center"/>
            </w:pPr>
            <w:r/>
            <w:r>
              <w:rPr>
                <w:rFonts w:ascii="仿宋_GB2312" w:hAnsi="仿宋_GB2312" w:eastAsia="仿宋_GB2312"/>
                <w:b w:val="0"/>
                <w:color w:val="000000"/>
                <w:sz w:val="32"/>
              </w:rPr>
              <w:t>营业收入</w:t>
            </w:r>
          </w:p>
        </w:tc>
        <w:tc>
          <w:tcPr>
            <w:tcW w:type="dxa" w:w="1984"/>
          </w:tcPr>
          <w:p>
            <w:pPr>
              <w:spacing w:lineRule="exact" w:line="600"/>
              <w:jc w:val="center"/>
            </w:pPr>
            <w:r/>
            <w:r>
              <w:rPr>
                <w:rFonts w:ascii="仿宋_GB2312" w:hAnsi="仿宋_GB2312" w:eastAsia="仿宋_GB2312"/>
                <w:b w:val="0"/>
                <w:color w:val="000000"/>
                <w:sz w:val="32"/>
              </w:rPr>
              <w:t>117.98</w:t>
            </w:r>
          </w:p>
        </w:tc>
        <w:tc>
          <w:tcPr>
            <w:tcW w:type="dxa" w:w="1984"/>
          </w:tcPr>
          <w:p>
            <w:pPr>
              <w:spacing w:lineRule="exact" w:line="600"/>
              <w:jc w:val="center"/>
            </w:pPr>
            <w:r/>
            <w:r>
              <w:rPr>
                <w:rFonts w:ascii="仿宋_GB2312" w:hAnsi="仿宋_GB2312" w:eastAsia="仿宋_GB2312"/>
                <w:b w:val="0"/>
                <w:color w:val="000000"/>
                <w:sz w:val="32"/>
              </w:rPr>
              <w:t>114.16</w:t>
            </w:r>
          </w:p>
        </w:tc>
        <w:tc>
          <w:tcPr>
            <w:tcW w:type="dxa" w:w="1984"/>
          </w:tcPr>
          <w:p>
            <w:pPr>
              <w:spacing w:lineRule="exact" w:line="600"/>
              <w:jc w:val="center"/>
            </w:pPr>
            <w:r/>
            <w:r>
              <w:rPr>
                <w:rFonts w:ascii="仿宋_GB2312" w:hAnsi="仿宋_GB2312" w:eastAsia="仿宋_GB2312"/>
                <w:b w:val="0"/>
                <w:color w:val="000000"/>
                <w:sz w:val="32"/>
              </w:rPr>
              <w:t>100.58</w:t>
            </w:r>
          </w:p>
        </w:tc>
      </w:tr>
      <w:tr>
        <w:tc>
          <w:tcPr>
            <w:tcW w:type="dxa" w:w="2835"/>
          </w:tcPr>
          <w:p>
            <w:pPr>
              <w:spacing w:lineRule="exact" w:line="600"/>
              <w:jc w:val="center"/>
            </w:pPr>
            <w:r/>
            <w:r>
              <w:rPr>
                <w:rFonts w:ascii="仿宋_GB2312" w:hAnsi="仿宋_GB2312" w:eastAsia="仿宋_GB2312"/>
                <w:b w:val="0"/>
                <w:color w:val="000000"/>
                <w:sz w:val="32"/>
              </w:rPr>
              <w:t>毛利</w:t>
            </w:r>
          </w:p>
        </w:tc>
        <w:tc>
          <w:tcPr>
            <w:tcW w:type="dxa" w:w="1984"/>
          </w:tcPr>
          <w:p>
            <w:pPr>
              <w:spacing w:lineRule="exact" w:line="600"/>
              <w:jc w:val="center"/>
            </w:pPr>
            <w:r/>
            <w:r>
              <w:rPr>
                <w:rFonts w:ascii="仿宋_GB2312" w:hAnsi="仿宋_GB2312" w:eastAsia="仿宋_GB2312"/>
                <w:b w:val="0"/>
                <w:color w:val="000000"/>
                <w:sz w:val="32"/>
              </w:rPr>
              <w:t>5.57</w:t>
            </w:r>
          </w:p>
        </w:tc>
        <w:tc>
          <w:tcPr>
            <w:tcW w:type="dxa" w:w="1984"/>
          </w:tcPr>
          <w:p>
            <w:pPr>
              <w:spacing w:lineRule="exact" w:line="600"/>
              <w:jc w:val="center"/>
            </w:pPr>
            <w:r/>
            <w:r>
              <w:rPr>
                <w:rFonts w:ascii="仿宋_GB2312" w:hAnsi="仿宋_GB2312" w:eastAsia="仿宋_GB2312"/>
                <w:b w:val="0"/>
                <w:color w:val="000000"/>
                <w:sz w:val="32"/>
              </w:rPr>
              <w:t>11.63</w:t>
            </w:r>
          </w:p>
        </w:tc>
        <w:tc>
          <w:tcPr>
            <w:tcW w:type="dxa" w:w="1984"/>
          </w:tcPr>
          <w:p>
            <w:pPr>
              <w:spacing w:lineRule="exact" w:line="600"/>
              <w:jc w:val="center"/>
            </w:pPr>
            <w:r/>
            <w:r>
              <w:rPr>
                <w:rFonts w:ascii="仿宋_GB2312" w:hAnsi="仿宋_GB2312" w:eastAsia="仿宋_GB2312"/>
                <w:b w:val="0"/>
                <w:color w:val="000000"/>
                <w:sz w:val="32"/>
              </w:rPr>
              <w:t>5.41</w:t>
            </w:r>
          </w:p>
        </w:tc>
      </w:tr>
      <w:tr>
        <w:tc>
          <w:tcPr>
            <w:tcW w:type="dxa" w:w="2835"/>
          </w:tcPr>
          <w:p>
            <w:pPr>
              <w:spacing w:lineRule="exact" w:line="600"/>
              <w:jc w:val="center"/>
            </w:pPr>
            <w:r/>
            <w:r>
              <w:rPr>
                <w:rFonts w:ascii="仿宋_GB2312" w:hAnsi="仿宋_GB2312" w:eastAsia="仿宋_GB2312"/>
                <w:b w:val="0"/>
                <w:color w:val="000000"/>
                <w:sz w:val="32"/>
              </w:rPr>
              <w:t>净利润</w:t>
            </w:r>
          </w:p>
        </w:tc>
        <w:tc>
          <w:tcPr>
            <w:tcW w:type="dxa" w:w="1984"/>
          </w:tcPr>
          <w:p>
            <w:pPr>
              <w:spacing w:lineRule="exact" w:line="600"/>
              <w:jc w:val="center"/>
            </w:pPr>
            <w:r/>
            <w:r>
              <w:rPr>
                <w:rFonts w:ascii="仿宋_GB2312" w:hAnsi="仿宋_GB2312" w:eastAsia="仿宋_GB2312"/>
                <w:b w:val="0"/>
                <w:color w:val="000000"/>
                <w:sz w:val="32"/>
              </w:rPr>
              <w:t>1.57</w:t>
            </w:r>
          </w:p>
        </w:tc>
        <w:tc>
          <w:tcPr>
            <w:tcW w:type="dxa" w:w="1984"/>
          </w:tcPr>
          <w:p>
            <w:pPr>
              <w:spacing w:lineRule="exact" w:line="600"/>
              <w:jc w:val="center"/>
            </w:pPr>
            <w:r/>
            <w:r>
              <w:rPr>
                <w:rFonts w:ascii="仿宋_GB2312" w:hAnsi="仿宋_GB2312" w:eastAsia="仿宋_GB2312"/>
                <w:b w:val="0"/>
                <w:color w:val="000000"/>
                <w:sz w:val="32"/>
              </w:rPr>
              <w:t>6.26</w:t>
            </w:r>
          </w:p>
        </w:tc>
        <w:tc>
          <w:tcPr>
            <w:tcW w:type="dxa" w:w="1984"/>
          </w:tcPr>
          <w:p>
            <w:pPr>
              <w:spacing w:lineRule="exact" w:line="600"/>
              <w:jc w:val="center"/>
            </w:pPr>
            <w:r/>
            <w:r>
              <w:rPr>
                <w:rFonts w:ascii="仿宋_GB2312" w:hAnsi="仿宋_GB2312" w:eastAsia="仿宋_GB2312"/>
                <w:b w:val="0"/>
                <w:color w:val="000000"/>
                <w:sz w:val="32"/>
              </w:rPr>
              <w:t>2.37</w:t>
            </w:r>
          </w:p>
        </w:tc>
      </w:tr>
      <w:tr>
        <w:tc>
          <w:tcPr>
            <w:tcW w:type="dxa" w:w="2835"/>
          </w:tcPr>
          <w:p>
            <w:pPr>
              <w:spacing w:lineRule="exact" w:line="600"/>
              <w:jc w:val="center"/>
            </w:pPr>
            <w:r/>
            <w:r>
              <w:rPr>
                <w:rFonts w:ascii="仿宋_GB2312" w:hAnsi="仿宋_GB2312" w:eastAsia="仿宋_GB2312"/>
                <w:b w:val="0"/>
                <w:color w:val="000000"/>
                <w:sz w:val="32"/>
              </w:rPr>
              <w:t>归母净利润</w:t>
            </w:r>
          </w:p>
        </w:tc>
        <w:tc>
          <w:tcPr>
            <w:tcW w:type="dxa" w:w="1984"/>
          </w:tcPr>
          <w:p>
            <w:pPr>
              <w:spacing w:lineRule="exact" w:line="600"/>
              <w:jc w:val="center"/>
            </w:pPr>
            <w:r/>
            <w:r>
              <w:rPr>
                <w:rFonts w:ascii="仿宋_GB2312" w:hAnsi="仿宋_GB2312" w:eastAsia="仿宋_GB2312"/>
                <w:b w:val="0"/>
                <w:color w:val="000000"/>
                <w:sz w:val="32"/>
              </w:rPr>
              <w:t>1.08</w:t>
            </w:r>
          </w:p>
        </w:tc>
        <w:tc>
          <w:tcPr>
            <w:tcW w:type="dxa" w:w="1984"/>
          </w:tcPr>
          <w:p>
            <w:pPr>
              <w:spacing w:lineRule="exact" w:line="600"/>
              <w:jc w:val="center"/>
            </w:pPr>
            <w:r/>
            <w:r>
              <w:rPr>
                <w:rFonts w:ascii="仿宋_GB2312" w:hAnsi="仿宋_GB2312" w:eastAsia="仿宋_GB2312"/>
                <w:b w:val="0"/>
                <w:color w:val="000000"/>
                <w:sz w:val="32"/>
              </w:rPr>
              <w:t>4.82</w:t>
            </w:r>
          </w:p>
        </w:tc>
        <w:tc>
          <w:tcPr>
            <w:tcW w:type="dxa" w:w="1984"/>
          </w:tcPr>
          <w:p>
            <w:pPr>
              <w:spacing w:lineRule="exact" w:line="600"/>
              <w:jc w:val="center"/>
            </w:pPr>
            <w:r/>
            <w:r>
              <w:rPr>
                <w:rFonts w:ascii="仿宋_GB2312" w:hAnsi="仿宋_GB2312" w:eastAsia="仿宋_GB2312"/>
                <w:b w:val="0"/>
                <w:color w:val="000000"/>
                <w:sz w:val="32"/>
              </w:rPr>
              <w:t>1.85</w:t>
            </w:r>
          </w:p>
        </w:tc>
      </w:tr>
      <w:tr>
        <w:tc>
          <w:tcPr>
            <w:tcW w:type="dxa" w:w="2835"/>
          </w:tcPr>
          <w:p>
            <w:pPr>
              <w:spacing w:lineRule="exact" w:line="600"/>
              <w:jc w:val="center"/>
            </w:pPr>
            <w:r/>
            <w:r>
              <w:rPr>
                <w:rFonts w:ascii="仿宋_GB2312" w:hAnsi="仿宋_GB2312" w:eastAsia="仿宋_GB2312"/>
                <w:b w:val="0"/>
                <w:color w:val="000000"/>
                <w:sz w:val="32"/>
              </w:rPr>
              <w:t>销售毛利率(%)</w:t>
            </w:r>
          </w:p>
        </w:tc>
        <w:tc>
          <w:tcPr>
            <w:tcW w:type="dxa" w:w="1984"/>
          </w:tcPr>
          <w:p>
            <w:pPr>
              <w:spacing w:lineRule="exact" w:line="600"/>
              <w:jc w:val="center"/>
            </w:pPr>
            <w:r/>
            <w:r>
              <w:rPr>
                <w:rFonts w:ascii="仿宋_GB2312" w:hAnsi="仿宋_GB2312" w:eastAsia="仿宋_GB2312"/>
                <w:b w:val="0"/>
                <w:color w:val="000000"/>
                <w:sz w:val="32"/>
              </w:rPr>
              <w:t>4.72</w:t>
            </w:r>
          </w:p>
        </w:tc>
        <w:tc>
          <w:tcPr>
            <w:tcW w:type="dxa" w:w="1984"/>
          </w:tcPr>
          <w:p>
            <w:pPr>
              <w:spacing w:lineRule="exact" w:line="600"/>
              <w:jc w:val="center"/>
            </w:pPr>
            <w:r/>
            <w:r>
              <w:rPr>
                <w:rFonts w:ascii="仿宋_GB2312" w:hAnsi="仿宋_GB2312" w:eastAsia="仿宋_GB2312"/>
                <w:b w:val="0"/>
                <w:color w:val="000000"/>
                <w:sz w:val="32"/>
              </w:rPr>
              <w:t>10.19</w:t>
            </w:r>
          </w:p>
        </w:tc>
        <w:tc>
          <w:tcPr>
            <w:tcW w:type="dxa" w:w="1984"/>
          </w:tcPr>
          <w:p>
            <w:pPr>
              <w:spacing w:lineRule="exact" w:line="600"/>
              <w:jc w:val="center"/>
            </w:pPr>
            <w:r/>
            <w:r>
              <w:rPr>
                <w:rFonts w:ascii="仿宋_GB2312" w:hAnsi="仿宋_GB2312" w:eastAsia="仿宋_GB2312"/>
                <w:b w:val="0"/>
                <w:color w:val="000000"/>
                <w:sz w:val="32"/>
              </w:rPr>
              <w:t>5.38</w:t>
            </w:r>
          </w:p>
        </w:tc>
      </w:tr>
      <w:tr>
        <w:tc>
          <w:tcPr>
            <w:tcW w:type="dxa" w:w="2835"/>
          </w:tcPr>
          <w:p>
            <w:pPr>
              <w:spacing w:lineRule="exact" w:line="600"/>
              <w:jc w:val="center"/>
            </w:pPr>
            <w:r/>
            <w:r>
              <w:rPr>
                <w:rFonts w:ascii="仿宋_GB2312" w:hAnsi="仿宋_GB2312" w:eastAsia="仿宋_GB2312"/>
                <w:b w:val="0"/>
                <w:color w:val="000000"/>
                <w:sz w:val="32"/>
              </w:rPr>
              <w:t>资产总额</w:t>
            </w:r>
          </w:p>
        </w:tc>
        <w:tc>
          <w:tcPr>
            <w:tcW w:type="dxa" w:w="1984"/>
          </w:tcPr>
          <w:p>
            <w:pPr>
              <w:spacing w:lineRule="exact" w:line="600"/>
              <w:jc w:val="center"/>
            </w:pPr>
            <w:r/>
            <w:r>
              <w:rPr>
                <w:rFonts w:ascii="仿宋_GB2312" w:hAnsi="仿宋_GB2312" w:eastAsia="仿宋_GB2312"/>
                <w:b w:val="0"/>
                <w:color w:val="000000"/>
                <w:sz w:val="32"/>
              </w:rPr>
              <w:t>53.53</w:t>
            </w:r>
          </w:p>
        </w:tc>
        <w:tc>
          <w:tcPr>
            <w:tcW w:type="dxa" w:w="1984"/>
          </w:tcPr>
          <w:p>
            <w:pPr>
              <w:spacing w:lineRule="exact" w:line="600"/>
              <w:jc w:val="center"/>
            </w:pPr>
            <w:r/>
            <w:r>
              <w:rPr>
                <w:rFonts w:ascii="仿宋_GB2312" w:hAnsi="仿宋_GB2312" w:eastAsia="仿宋_GB2312"/>
                <w:b w:val="0"/>
                <w:color w:val="000000"/>
                <w:sz w:val="32"/>
              </w:rPr>
              <w:t>69.59</w:t>
            </w:r>
          </w:p>
        </w:tc>
        <w:tc>
          <w:tcPr>
            <w:tcW w:type="dxa" w:w="1984"/>
          </w:tcPr>
          <w:p>
            <w:pPr>
              <w:spacing w:lineRule="exact" w:line="600"/>
              <w:jc w:val="center"/>
            </w:pPr>
            <w:r/>
            <w:r>
              <w:rPr>
                <w:rFonts w:ascii="仿宋_GB2312" w:hAnsi="仿宋_GB2312" w:eastAsia="仿宋_GB2312"/>
                <w:b w:val="0"/>
                <w:color w:val="000000"/>
                <w:sz w:val="32"/>
              </w:rPr>
              <w:t>68.23</w:t>
            </w:r>
          </w:p>
        </w:tc>
      </w:tr>
      <w:tr>
        <w:tc>
          <w:tcPr>
            <w:tcW w:type="dxa" w:w="2835"/>
          </w:tcPr>
          <w:p>
            <w:pPr>
              <w:spacing w:lineRule="exact" w:line="600"/>
              <w:jc w:val="center"/>
            </w:pPr>
            <w:r/>
            <w:r>
              <w:rPr>
                <w:rFonts w:ascii="仿宋_GB2312" w:hAnsi="仿宋_GB2312" w:eastAsia="仿宋_GB2312"/>
                <w:b w:val="0"/>
                <w:color w:val="000000"/>
                <w:sz w:val="32"/>
              </w:rPr>
              <w:t>负债总额</w:t>
            </w:r>
          </w:p>
        </w:tc>
        <w:tc>
          <w:tcPr>
            <w:tcW w:type="dxa" w:w="1984"/>
          </w:tcPr>
          <w:p>
            <w:pPr>
              <w:spacing w:lineRule="exact" w:line="600"/>
              <w:jc w:val="center"/>
            </w:pPr>
            <w:r/>
            <w:r>
              <w:rPr>
                <w:rFonts w:ascii="仿宋_GB2312" w:hAnsi="仿宋_GB2312" w:eastAsia="仿宋_GB2312"/>
                <w:b w:val="0"/>
                <w:color w:val="000000"/>
                <w:sz w:val="32"/>
              </w:rPr>
              <w:t>14.16</w:t>
            </w:r>
          </w:p>
        </w:tc>
        <w:tc>
          <w:tcPr>
            <w:tcW w:type="dxa" w:w="1984"/>
          </w:tcPr>
          <w:p>
            <w:pPr>
              <w:spacing w:lineRule="exact" w:line="600"/>
              <w:jc w:val="center"/>
            </w:pPr>
            <w:r/>
            <w:r>
              <w:rPr>
                <w:rFonts w:ascii="仿宋_GB2312" w:hAnsi="仿宋_GB2312" w:eastAsia="仿宋_GB2312"/>
                <w:b w:val="0"/>
                <w:color w:val="000000"/>
                <w:sz w:val="32"/>
              </w:rPr>
              <w:t>24.65</w:t>
            </w:r>
          </w:p>
        </w:tc>
        <w:tc>
          <w:tcPr>
            <w:tcW w:type="dxa" w:w="1984"/>
          </w:tcPr>
          <w:p>
            <w:pPr>
              <w:spacing w:lineRule="exact" w:line="600"/>
              <w:jc w:val="center"/>
            </w:pPr>
            <w:r/>
            <w:r>
              <w:rPr>
                <w:rFonts w:ascii="仿宋_GB2312" w:hAnsi="仿宋_GB2312" w:eastAsia="仿宋_GB2312"/>
                <w:b w:val="0"/>
                <w:color w:val="000000"/>
                <w:sz w:val="32"/>
              </w:rPr>
              <w:t>21.72</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1984"/>
          </w:tcPr>
          <w:p>
            <w:pPr>
              <w:spacing w:lineRule="exact" w:line="600"/>
              <w:jc w:val="center"/>
            </w:pPr>
            <w:r/>
            <w:r>
              <w:rPr>
                <w:rFonts w:ascii="仿宋_GB2312" w:hAnsi="仿宋_GB2312" w:eastAsia="仿宋_GB2312"/>
                <w:b w:val="0"/>
                <w:color w:val="000000"/>
                <w:sz w:val="32"/>
              </w:rPr>
              <w:t>26.46</w:t>
            </w:r>
          </w:p>
        </w:tc>
        <w:tc>
          <w:tcPr>
            <w:tcW w:type="dxa" w:w="1984"/>
          </w:tcPr>
          <w:p>
            <w:pPr>
              <w:spacing w:lineRule="exact" w:line="600"/>
              <w:jc w:val="center"/>
            </w:pPr>
            <w:r/>
            <w:r>
              <w:rPr>
                <w:rFonts w:ascii="仿宋_GB2312" w:hAnsi="仿宋_GB2312" w:eastAsia="仿宋_GB2312"/>
                <w:b w:val="0"/>
                <w:color w:val="000000"/>
                <w:sz w:val="32"/>
              </w:rPr>
              <w:t>35.43</w:t>
            </w:r>
          </w:p>
        </w:tc>
        <w:tc>
          <w:tcPr>
            <w:tcW w:type="dxa" w:w="1984"/>
          </w:tcPr>
          <w:p>
            <w:pPr>
              <w:spacing w:lineRule="exact" w:line="600"/>
              <w:jc w:val="center"/>
            </w:pPr>
            <w:r/>
            <w:r>
              <w:rPr>
                <w:rFonts w:ascii="仿宋_GB2312" w:hAnsi="仿宋_GB2312" w:eastAsia="仿宋_GB2312"/>
                <w:b w:val="0"/>
                <w:color w:val="000000"/>
                <w:sz w:val="32"/>
              </w:rPr>
              <w:t>31.84</w:t>
            </w:r>
          </w:p>
        </w:tc>
      </w:tr>
      <w:tr>
        <w:tc>
          <w:tcPr>
            <w:tcW w:type="dxa" w:w="2835"/>
          </w:tcPr>
          <w:p>
            <w:pPr>
              <w:spacing w:lineRule="exact" w:line="600"/>
              <w:jc w:val="center"/>
            </w:pPr>
            <w:r/>
            <w:r>
              <w:rPr>
                <w:rFonts w:ascii="仿宋_GB2312" w:hAnsi="仿宋_GB2312" w:eastAsia="仿宋_GB2312"/>
                <w:b w:val="0"/>
                <w:color w:val="000000"/>
                <w:sz w:val="32"/>
              </w:rPr>
              <w:t>经营现金流净额</w:t>
            </w:r>
          </w:p>
        </w:tc>
        <w:tc>
          <w:tcPr>
            <w:tcW w:type="dxa" w:w="1984"/>
          </w:tcPr>
          <w:p>
            <w:pPr>
              <w:spacing w:lineRule="exact" w:line="600"/>
              <w:jc w:val="center"/>
            </w:pPr>
            <w:r/>
            <w:r>
              <w:rPr>
                <w:rFonts w:ascii="仿宋_GB2312" w:hAnsi="仿宋_GB2312" w:eastAsia="仿宋_GB2312"/>
                <w:b w:val="0"/>
                <w:color w:val="000000"/>
                <w:sz w:val="32"/>
              </w:rPr>
              <w:t>4.13</w:t>
            </w:r>
          </w:p>
        </w:tc>
        <w:tc>
          <w:tcPr>
            <w:tcW w:type="dxa" w:w="1984"/>
          </w:tcPr>
          <w:p>
            <w:pPr>
              <w:spacing w:lineRule="exact" w:line="600"/>
              <w:jc w:val="center"/>
            </w:pPr>
            <w:r/>
            <w:r>
              <w:rPr>
                <w:rFonts w:ascii="仿宋_GB2312" w:hAnsi="仿宋_GB2312" w:eastAsia="仿宋_GB2312"/>
                <w:b w:val="0"/>
                <w:color w:val="000000"/>
                <w:sz w:val="32"/>
              </w:rPr>
              <w:t>13.17</w:t>
            </w:r>
          </w:p>
        </w:tc>
        <w:tc>
          <w:tcPr>
            <w:tcW w:type="dxa" w:w="1984"/>
          </w:tcPr>
          <w:p>
            <w:pPr>
              <w:spacing w:lineRule="exact" w:line="600"/>
              <w:jc w:val="center"/>
            </w:pPr>
            <w:r/>
            <w:r>
              <w:rPr>
                <w:rFonts w:ascii="仿宋_GB2312" w:hAnsi="仿宋_GB2312" w:eastAsia="仿宋_GB2312"/>
                <w:b w:val="0"/>
                <w:color w:val="000000"/>
                <w:sz w:val="32"/>
              </w:rPr>
              <w:t>2.99</w:t>
            </w:r>
          </w:p>
        </w:tc>
      </w:tr>
      <w:tr>
        <w:tc>
          <w:tcPr>
            <w:tcW w:type="dxa" w:w="2835"/>
          </w:tcPr>
          <w:p>
            <w:pPr>
              <w:spacing w:lineRule="exact" w:line="600"/>
              <w:jc w:val="center"/>
            </w:pPr>
            <w:r/>
            <w:r>
              <w:rPr>
                <w:rFonts w:ascii="仿宋_GB2312" w:hAnsi="仿宋_GB2312" w:eastAsia="仿宋_GB2312"/>
                <w:b w:val="0"/>
                <w:color w:val="000000"/>
                <w:sz w:val="32"/>
              </w:rPr>
              <w:t>基本每股收益(元)</w:t>
            </w:r>
          </w:p>
        </w:tc>
        <w:tc>
          <w:tcPr>
            <w:tcW w:type="dxa" w:w="1984"/>
          </w:tcPr>
          <w:p>
            <w:pPr>
              <w:spacing w:lineRule="exact" w:line="600"/>
              <w:jc w:val="center"/>
            </w:pPr>
            <w:r/>
            <w:r>
              <w:rPr>
                <w:rFonts w:ascii="仿宋_GB2312" w:hAnsi="仿宋_GB2312" w:eastAsia="仿宋_GB2312"/>
                <w:b w:val="0"/>
                <w:color w:val="000000"/>
                <w:sz w:val="32"/>
              </w:rPr>
              <w:t>0.018</w:t>
            </w:r>
          </w:p>
        </w:tc>
        <w:tc>
          <w:tcPr>
            <w:tcW w:type="dxa" w:w="1984"/>
          </w:tcPr>
          <w:p>
            <w:pPr>
              <w:spacing w:lineRule="exact" w:line="600"/>
              <w:jc w:val="center"/>
            </w:pPr>
            <w:r/>
            <w:r>
              <w:rPr>
                <w:rFonts w:ascii="仿宋_GB2312" w:hAnsi="仿宋_GB2312" w:eastAsia="仿宋_GB2312"/>
                <w:b w:val="0"/>
                <w:color w:val="000000"/>
                <w:sz w:val="32"/>
              </w:rPr>
              <w:t>0.08</w:t>
            </w:r>
          </w:p>
        </w:tc>
        <w:tc>
          <w:tcPr>
            <w:tcW w:type="dxa" w:w="1984"/>
          </w:tcPr>
          <w:p>
            <w:pPr>
              <w:spacing w:lineRule="exact" w:line="600"/>
              <w:jc w:val="center"/>
            </w:pPr>
            <w:r/>
            <w:r>
              <w:rPr>
                <w:rFonts w:ascii="仿宋_GB2312" w:hAnsi="仿宋_GB2312" w:eastAsia="仿宋_GB2312"/>
                <w:b w:val="0"/>
                <w:color w:val="000000"/>
                <w:sz w:val="32"/>
              </w:rPr>
              <w:t>0.03</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毛利率呈现明显周期性：2023年受行业产能过剩与玉米成本高企影响，毛利率仅4.72%、净利润1.57亿元；2024年下游产品景气度回升、成本下降，毛利率提升至10.19%、净利润跃升至6.26亿元；2025年再度回落至毛利率5.38%、净利润2.37亿元。整体看，公司以大宗商品为主的结构使盈利对产品价差与原料价格高度敏感，盈利弹性大但稳定性偏弱。</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2023—2025年资产总额分别为53.53亿、69.59亿、68.23亿元，2024年资产规模较快扩张（同比+30.01%），主要系产能建设与存货、现金增加。流动资产占比约50%—64%，以存货、贸易应收及现金为主；非流动资产以物业厂房设备为主（2024年约20.8亿元）。资产结构总体稳健，但需关注存货跌价与应收周转风险。</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资产负债率处于较低水平，2023—2025年分别为26.46%、35.43%、31.84%，2024年因借款增加有所上升后回落。流动比率长期维持在2.0倍以上（2023年2.26、2024年2.05、2025年2.14），速动比率1.6—1.8倍，短期偿债能力充足，有息负债以银行借款为主，整体财务杠杆安全。</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净额2023年4.13亿元、2024年13.17亿元、2025年2.99亿元，与盈利变动基本匹配。2024年经营现金流大幅改善，反映下游回暖与营运资金效率提升；2025年回落至2.99亿元。投资活动围绕产能扩建，资本开支较大；公司凭借稳健经营现金流与低负债率，具备较强内生再投资能力。</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作为玉米深加工行业头部企业，公司营收规模（百亿元级）与赖氨酸、淀粉产能位居国内前列，但毛利率（5%左右）显著低于精细化工与新材料企业，体现大宗农产品加工"薄利多销"特征。与同业相比，公司优势在于全产业链一体化与规模效应，短板在于高附加值生物基材料收入占比仍偏低、盈利周期性明显。</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作为中国淀粉控股有限公司（开曼注册、港交所上市）的核心运营主体，公司遵循港股上市规则与香港财务报告准则，建立董事会领导下的总经理负责制。董事长为田其祥，法定代表人与董事兼总经理为高世军，董事包括郭智博、魏国英、刘象刚、刘炳忠、于英泉等，监事包括杨洪喜、苏涛、赵怀斌。公司治理透明度较高，定期披露年报与中期业绩。</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公司核心管理层在玉米深加工与生物制造领域经验丰富，董事长田其祥、总经理高世军带领企业完成上市与产能扩张，管理团队稳定。作为外商独资企业，重大决策由实际控制人Sourcestar Worldwide Inc通过董事会行使。</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公司通过ISO9001、ISO22000、ISO14001、ISO45001等体系认证，建立了覆盖采购、生产、质量、安全、环保的标准化管理体系。作为港股上市公司体系内企业，接受外部审计与监管，内控规范程度较高。</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拥有专业科研人员120余人，其中研究生及以上学历人员占比逾30%，近三年年均研发投入超1亿元。参保人数约1,096人（2025年年报），官网披露员工约2,300人。公司通过博士后科研工作站与省级技术中心搭建人才梯队，支撑生物基新材料等前沿方向研发。</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规模与全产业链壁垒：年加工玉米360万吨以上、淀粉与赖氨酸产能行业领先，玉米—淀粉—氨基酸—乳酸—聚乳酸一体化降低单位成本、平滑周期波动。二是技术与认证壁垒：拥有155项专利、博士后工作站与省级技术中心，掌握高光纯D-乳酸、非钙盐法乳酸绿色制造、尼龙56盐制备等核心技术，多项体系认证构筑客户准入壁垒。三是品牌与渠道壁垒："圣玉"中国名牌与多年行业口碑，覆盖20余省市及20余国的销售网络。四是绿色制造壁垒：国家绿色工厂与循环经济模式契合"限塑令"下生物基材料政策红利。</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玉米深加工属强周期行业，产品价差与玉米原料价格高度敏感，毛利率在4%—10%间大幅波动；赖氨酸等行业存在产能过剩，价格竞争激烈。生物基材料（PLA等）仍处培育期，下游需求与政策落地节奏存在不确定性。</w:t>
      </w:r>
    </w:p>
    <w:p>
      <w:pPr>
        <w:spacing w:lineRule="exact" w:line="600" w:before="120" w:after="120"/>
        <w:ind w:firstLine="420"/>
        <w:jc w:val="left"/>
      </w:pPr>
      <w:r>
        <w:rPr>
          <w:rFonts w:ascii="楷体_GB2312" w:hAnsi="楷体_GB2312" w:eastAsia="楷体_GB2312"/>
          <w:b w:val="0"/>
          <w:color w:val="000000"/>
          <w:sz w:val="32"/>
        </w:rPr>
        <w:t>（二）财务与合规风险</w:t>
      </w:r>
    </w:p>
    <w:p>
      <w:pPr>
        <w:spacing w:lineRule="exact" w:line="600" w:before="0" w:after="0"/>
        <w:ind w:firstLine="420"/>
        <w:jc w:val="both"/>
      </w:pPr>
      <w:r>
        <w:rPr>
          <w:rFonts w:ascii="仿宋_GB2312" w:hAnsi="仿宋_GB2312" w:eastAsia="仿宋_GB2312"/>
          <w:b w:val="0"/>
          <w:color w:val="000000"/>
          <w:sz w:val="32"/>
        </w:rPr>
        <w:t>公开信息显示公司存在一定数量司法案件记录（约23起），主要为合同纠纷与经营类诉讼，尚未发现重大违法违规处罚。作为外商独资企业，需关注跨境资金与汇率波动影响。</w:t>
      </w:r>
    </w:p>
    <w:p>
      <w:pPr>
        <w:spacing w:lineRule="exact" w:line="600" w:before="120" w:after="120"/>
        <w:ind w:firstLine="420"/>
        <w:jc w:val="left"/>
      </w:pPr>
      <w:r>
        <w:rPr>
          <w:rFonts w:ascii="楷体_GB2312" w:hAnsi="楷体_GB2312" w:eastAsia="楷体_GB2312"/>
          <w:b w:val="0"/>
          <w:color w:val="000000"/>
          <w:sz w:val="32"/>
        </w:rPr>
        <w:t>（三）应对措施</w:t>
      </w:r>
    </w:p>
    <w:p>
      <w:pPr>
        <w:spacing w:lineRule="exact" w:line="600" w:before="0" w:after="0"/>
        <w:ind w:firstLine="420"/>
        <w:jc w:val="both"/>
      </w:pPr>
      <w:r>
        <w:rPr>
          <w:rFonts w:ascii="仿宋_GB2312" w:hAnsi="仿宋_GB2312" w:eastAsia="仿宋_GB2312"/>
          <w:b w:val="0"/>
          <w:color w:val="000000"/>
          <w:sz w:val="32"/>
        </w:rPr>
        <w:t>公司通过向上游单体与高附加值下游（D-乳酸、聚乳酸、生物基尼龙）延伸提升盈利质量；持续技改节能降耗；依托"中国淀粉"上市平台优化资本结构；强化研发与标准制定，巩固技术与市场地位。</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针对公司玉米等大宗原料采购占用资金大、供应商分散的特点，山东投资可切入以下四类业务：一是供应链金融，围绕玉米收储与淀粉销售场景，为上游农户/贸易商及下游经销商提供应收账款保理与预付融资；二是融资租赁，支持公司节能技改设备、生物基新材料产线的设备直租与回租；三是商业保理，盘活公司对大型客户的应收账款；四是小额贷款，为产业链上下游中小配套企业提供周转资金。此举既可服务实体经济、支持生物基新材料产业链，又能依托公司稳健经营与上市信用控制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山东寿光巨能金玉米开发有限公司是寿光生物基新材料产业集群的链主企业与国内玉米深加工行业龙头，规模、技术、品牌优势突出，财务稳健、杠杆率低。但盈利周期性明显、高附加值生物基材料占比待提升，是其主要短板。</w:t>
      </w:r>
    </w:p>
    <w:p>
      <w:pPr>
        <w:spacing w:lineRule="exact" w:line="600" w:before="120" w:after="120"/>
        <w:ind w:firstLine="420"/>
        <w:jc w:val="left"/>
      </w:pPr>
      <w:r>
        <w:rPr>
          <w:rFonts w:ascii="楷体_GB2312" w:hAnsi="楷体_GB2312" w:eastAsia="楷体_GB2312"/>
          <w:b w:val="0"/>
          <w:color w:val="000000"/>
          <w:sz w:val="32"/>
        </w:rPr>
        <w:t>（二）未来发展</w:t>
      </w:r>
    </w:p>
    <w:p>
      <w:pPr>
        <w:spacing w:lineRule="exact" w:line="600" w:before="0" w:after="0"/>
        <w:ind w:firstLine="420"/>
        <w:jc w:val="both"/>
      </w:pPr>
      <w:r>
        <w:rPr>
          <w:rFonts w:ascii="仿宋_GB2312" w:hAnsi="仿宋_GB2312" w:eastAsia="仿宋_GB2312"/>
          <w:b w:val="0"/>
          <w:color w:val="000000"/>
          <w:sz w:val="32"/>
        </w:rPr>
        <w:t>据公司规划与行业趋势，在"限塑令"与"双碳"政策驱动下，聚乳酸等生物基可降解材料需求将长期增长，公司D-乳酸—聚乳酸一体化布局有望成为第二增长曲线；赖氨酸等大宗业务则依靠规模与成本维持市场地位。</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主要挑战在于生物基材料产能消化与成本竞争、玉米原料价格波动、行业周期下行时的盈利承压，以及研发投入转化为商业化收益的周期。</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将该公司作为生物基新材料产业链核心客户，优先以供应链金融与融资租赁切入，支持其绿色技改与生物基产能建设；同时关注其盈利周期，设置与经营现金流挂钩的授信条件。综合评级：产业链地位突出、信用资质优良的战略合作型客户。</w:t>
      </w:r>
    </w:p>
    <w:p>
      <w:pPr>
        <w:spacing w:lineRule="exact" w:line="600" w:before="0" w:after="0"/>
        <w:jc w:val="left"/>
      </w:pPr>
      <w:r>
        <w:rPr>
          <w:rFonts w:ascii="仿宋_GB2312" w:hAnsi="仿宋_GB2312" w:eastAsia="仿宋_GB2312"/>
          <w:b w:val="0"/>
          <w:color w:val="000000"/>
          <w:sz w:val="28"/>
        </w:rPr>
        <w:t>数据来源说明：本报告数据来源于山东寿光巨能金玉米开发有限公司官网（jnjym.com）、港交所披露易（HKEX）中国淀粉控股有限公司2023年年报及2024年中期报告、公开财务数据聚合平台（03838.HK近三年主要会计数据）、爱企查/天眼查工商信息、百度百科企业词条、大众日报/新华网等公开报道。财务数据采用中国淀粉控股有限公司合并口径公开披露值，细分业务数据为公开报道口径；非上市细分主体财务未单独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