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山东临沂沂水县(淀粉糖及休闲食品)特色产业集群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七星柠檬科技有限公司企业分析报告</w:t>
      </w:r>
    </w:p>
    <w:p>
      <w:pPr>
        <w:spacing w:lineRule="exact" w:line="600" w:before="0" w:after="0"/>
        <w:jc w:val="left"/>
      </w:pPr>
      <w:r>
        <w:rPr>
          <w:rFonts w:ascii="仿宋_GB2312" w:hAnsi="仿宋_GB2312" w:eastAsia="仿宋_GB2312"/>
          <w:b w:val="0"/>
          <w:color w:val="000000"/>
          <w:sz w:val="28"/>
        </w:rPr>
        <w:t>（本报告依据七星柠檬科技有限公司官网、天眼查/企查查/爱企查工商登记信息、公开媒体报道等渠道整理，统计时点截至最新公开披露信息。该公司为非上市企业，已于2025年完成A轮融资，完整财务报表未公开披露，凡涉及财务数据处均已如实标注口径与来源，未作任何推算或虚构。工商登记法定代表人存在“刘成全”（天眼查/爱企查）与“刘明全”（企查查/启信宝疑似实控人）的不同表述，本报告已注明，以市场监督管理部门最新登记为准。）</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沂水县地处山东省临沂市北部，是全国著名的食品工业强县，食品产业规模长期位居全省前列，享有“中国食品城”的美誉。淀粉糖及休闲食品是沂水特色产业集群的重要板块，依托当地丰富的玉米等农产品资源和便利的交通物流条件，形成了以玉米精深加工、淀粉糖、休闲食品、柠檬酸（食品添加剂）为核心的产业链条。集群内企业梯次分布、层次分明：既有鲁洲生物这样起步于上世纪八十年代、隶属新加坡鲁洲集团的外商独资淀粉糖龙头，也有青援食品这样深耕方便食品与休闲食品、跻身农业产业化国家重点龙头企业的本土标杆，还有七星柠檬这样2018年新投产、投资规模超30亿元、年产45万吨高端柠檬酸、产品出口130多个国家和地区的新兴高成长企业。三家企业分别代表了玉米淀粉糖深加工、休闲方便食品、柠檬酸发酵三大方向，共同构成沂水“从田间到餐桌、从原料到终端”的食品工业集群版图。</w:t>
      </w:r>
    </w:p>
    <w:p>
      <w:pPr>
        <w:spacing w:lineRule="exact" w:line="600" w:before="0" w:after="0"/>
        <w:ind w:firstLine="420"/>
        <w:jc w:val="both"/>
      </w:pPr>
      <w:r>
        <w:rPr>
          <w:rFonts w:ascii="仿宋_GB2312" w:hAnsi="仿宋_GB2312" w:eastAsia="仿宋_GB2312"/>
          <w:b w:val="0"/>
          <w:color w:val="000000"/>
          <w:sz w:val="32"/>
        </w:rPr>
        <w:t>沂水食品产业集群的发展，得益于当地持续推动的产业链招商、技术改造与品牌培育。公开报道显示，沂水县食品产业在方便食品、淀粉糖、休闲食品等领域形成了较强的集聚效应，产品销往全国并远销海外。集群内骨干企业普遍重视质量管理与体系认证，多家通过了ISO9001、ISO22000、HACCP等体系认证，并在标准化、专利与品牌建设上持续投入。需要客观指出的是，淀粉糖及休闲食品行业整体面临原料（玉米等农产品）价格波动、下游需求变化、同质化竞争以及食品安全监管趋严等共性挑战，企业的盈利能力与抗周期能力与其规模、产品结构和技术壁垒高度相关。本报告所分析的三家企业，分别处于该集群的淀粉糖原料端、休闲食品终端与柠檬酸发酵出口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七星柠檬科技有限公司（以下简称“七星柠檬”或“公司”）成立于2018年1月19日，统一社会信用代码为91371323MA3MLW872N，登记机关为沂水县市场监督管理局，企业登记状态为存续（开业）。注册地址为临沂市沂水县经济开发区庐山项目区南二环路以南、许姚路以西，位于沂水县经济开发区，占地面积883亩，是沂水县重点引进的大型食品发酵与食品添加剂制造企业。</w:t>
      </w:r>
    </w:p>
    <w:p>
      <w:pPr>
        <w:spacing w:lineRule="exact" w:line="600" w:before="0" w:after="0"/>
        <w:ind w:firstLine="420"/>
        <w:jc w:val="both"/>
      </w:pPr>
      <w:r>
        <w:rPr>
          <w:rFonts w:ascii="仿宋_GB2312" w:hAnsi="仿宋_GB2312" w:eastAsia="仿宋_GB2312"/>
          <w:b w:val="0"/>
          <w:color w:val="000000"/>
          <w:sz w:val="32"/>
        </w:rPr>
        <w:t>公司注册资本66,500万元人民币，实缴资本66,100万元人民币，企业类型为其他有限责任公司，人员规模标注为500—999人（大型），2025年工商年报社保参保人数635人。关于法定代表人，天眼查、爱企查登记为刘成全，企查查、启信宝以刘明全为疑似实际控制人，二者表述存在差异，以最新工商登记为准。</w:t>
      </w:r>
    </w:p>
    <w:p>
      <w:pPr>
        <w:spacing w:lineRule="exact" w:line="600" w:before="0" w:after="0"/>
        <w:ind w:firstLine="420"/>
        <w:jc w:val="both"/>
      </w:pPr>
      <w:r>
        <w:rPr>
          <w:rFonts w:ascii="仿宋_GB2312" w:hAnsi="仿宋_GB2312" w:eastAsia="仿宋_GB2312"/>
          <w:b w:val="0"/>
          <w:color w:val="000000"/>
          <w:sz w:val="32"/>
        </w:rPr>
        <w:t>股东结构方面，公开股权穿透信息显示，广州万博控股有限公司持股约62.93%，沂水新动能创业投资合伙企业（有限合伙）持股约30.08%，临沂航讯科技产业开发有限公司、临沂市新旧动能转换基金投资有限公司、山东宁毅投资有限公司、临沂市财金股权私募投资基金管理有限公司等国有及地方产业基金亦有参股，呈现“民资控股+地方产业基金参投”的混合资本结构。具体持股比例以公司章程与工商登记为准。</w:t>
      </w:r>
    </w:p>
    <w:p>
      <w:pPr>
        <w:spacing w:lineRule="exact" w:line="600" w:before="0" w:after="0"/>
        <w:ind w:firstLine="420"/>
        <w:jc w:val="both"/>
      </w:pPr>
      <w:r>
        <w:rPr>
          <w:rFonts w:ascii="仿宋_GB2312" w:hAnsi="仿宋_GB2312" w:eastAsia="仿宋_GB2312"/>
          <w:b w:val="0"/>
          <w:color w:val="000000"/>
          <w:sz w:val="32"/>
        </w:rPr>
        <w:t>经营范围为：食品添加剂（柠檬酸、柠檬酸钠）研发、生产、销售；单一饲料（柠檬酸糟、玉米淀粉渣）生产、销售；污泥、柠檬酸石膏销售；货物进出口业务。国民经济行业分类属食品制造业（调味品、发酵制品制造）。</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董事长（刘成全/刘明全）及主要管理人员6人，公开信息显示董事长为公司主要负责人。公司作为大型制造企业的项目主体，按“研发—生产—质量—销售—外贸”设置职能体系，并建有技术研发与质量管控团队。公司未公开披露内部部门与子公司完整名录，公开信息显示其对外投资4家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2018年1月，公司登记设立，规划投资30亿元、占地883亩，建设年产45万吨高端柠檬酸系列产品项目，是沂水县乃至临沂市重点招商引资项目。</w:t>
      </w:r>
    </w:p>
    <w:p>
      <w:pPr>
        <w:spacing w:lineRule="exact" w:line="600" w:before="0" w:after="0"/>
        <w:ind w:firstLine="420"/>
        <w:jc w:val="both"/>
      </w:pPr>
      <w:r>
        <w:rPr>
          <w:rFonts w:ascii="仿宋_GB2312" w:hAnsi="仿宋_GB2312" w:eastAsia="仿宋_GB2312"/>
          <w:b w:val="0"/>
          <w:color w:val="000000"/>
          <w:sz w:val="32"/>
        </w:rPr>
        <w:t>项目建成后，公司形成年产45万吨高端柠檬酸系列产品的生产能力，位居世界前列，产品包括一水柠檬酸、无水柠檬酸、柠檬酸钠以及高端蛋白饲料和颗粒污泥等，出口到130多个国家和地区。</w:t>
      </w:r>
    </w:p>
    <w:p>
      <w:pPr>
        <w:spacing w:lineRule="exact" w:line="600" w:before="0" w:after="0"/>
        <w:ind w:firstLine="420"/>
        <w:jc w:val="both"/>
      </w:pPr>
      <w:r>
        <w:rPr>
          <w:rFonts w:ascii="仿宋_GB2312" w:hAnsi="仿宋_GB2312" w:eastAsia="仿宋_GB2312"/>
          <w:b w:val="0"/>
          <w:color w:val="000000"/>
          <w:sz w:val="32"/>
        </w:rPr>
        <w:t>2025年，公司完成A轮融资，并获评省级民营经济高质量发展突出贡献企业、省级智能工厂、市级技术创新中心等荣誉，技术与管理能级持续提升。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公司战略定位为“全球最具竞争力的柠檬酸制造商”，专注于柠檬酸系列产品的研发、生产、销售，是沂水食品集群中出口导向最强、单品规模全球领先的代表企业。</w:t>
      </w:r>
    </w:p>
    <w:p>
      <w:pPr>
        <w:spacing w:lineRule="exact" w:line="600" w:before="0" w:after="0"/>
        <w:ind w:firstLine="420"/>
        <w:jc w:val="both"/>
      </w:pPr>
      <w:r>
        <w:rPr>
          <w:rFonts w:ascii="仿宋_GB2312" w:hAnsi="仿宋_GB2312" w:eastAsia="仿宋_GB2312"/>
          <w:b w:val="0"/>
          <w:color w:val="000000"/>
          <w:sz w:val="32"/>
        </w:rPr>
        <w:t>主营业务为食品添加剂柠檬酸（一水、无水）、柠檬酸钠的研发、生产与销售，同时为副产物综合利用生产单一饲料（柠檬酸糟、玉米淀粉渣）、颗粒污泥等，形成“主产品+循环副产物”的柠檬酸全产业链模式。</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柠檬酸（一水、无水）、柠檬酸钠等食品添加剂销售，以及副产物（蛋白饲料、颗粒污泥）销售。公司未公开披露分产品收入构成比例。可确认的公开经营口径为：投资30亿元、占地883亩、员工1000多人、年产45万吨高端柠檬酸系列产品、出口130多个国家和地区。</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第一类为一水柠檬酸、无水柠檬酸，是食品、饮料、日化、医药等领域的基础酸味剂与防腐剂，属大宗食品添加剂，需求刚性强、应用面广。</w:t>
      </w:r>
    </w:p>
    <w:p>
      <w:pPr>
        <w:spacing w:lineRule="exact" w:line="600" w:before="0" w:after="0"/>
        <w:ind w:firstLine="420"/>
        <w:jc w:val="both"/>
      </w:pPr>
      <w:r>
        <w:rPr>
          <w:rFonts w:ascii="仿宋_GB2312" w:hAnsi="仿宋_GB2312" w:eastAsia="仿宋_GB2312"/>
          <w:b w:val="0"/>
          <w:color w:val="000000"/>
          <w:sz w:val="32"/>
        </w:rPr>
        <w:t>第二类为柠檬酸钠，主要用于食品缓冲剂、医药与洗涤剂等领域。</w:t>
      </w:r>
    </w:p>
    <w:p>
      <w:pPr>
        <w:spacing w:lineRule="exact" w:line="600" w:before="0" w:after="0"/>
        <w:ind w:firstLine="420"/>
        <w:jc w:val="both"/>
      </w:pPr>
      <w:r>
        <w:rPr>
          <w:rFonts w:ascii="仿宋_GB2312" w:hAnsi="仿宋_GB2312" w:eastAsia="仿宋_GB2312"/>
          <w:b w:val="0"/>
          <w:color w:val="000000"/>
          <w:sz w:val="32"/>
        </w:rPr>
        <w:t>第三类为副产物综合利用产品，包括高端蛋白饲料（柠檬酸糟、玉米淀粉渣加工）和颗粒污泥，体现柠檬酸生产的循环经济特征。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柠檬酸下游覆盖食品饮料、日化、医药、洗涤剂等行业，客户全球分布。公司产品出口130多个国家和地区，外销占比高，客户结构高度国际化、分散化，单一客户依赖风险低，但对国际市场价格、汇率与贸易政策敏感。公司未公开披露前五大客户名称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核心原料为玉米（用于生产柠檬酸与玉米淀粉渣饲料）及辅料，属农产品大宗物资，采购受玉米价格波动影响。公司地处沂水，周边为玉米产区，具备一定就近采购优势，但大规模加工仍需跨区域组织粮源。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年产45万吨高端柠檬酸系列产品，位居世界前列，占地883亩，员工1000多人，是沂水投资规模最大、单体产能最强的食品发酵企业之一。技术资源方面，公司拥有国家发明专利5项、实用新型专利15项（官网口径；企查查口径为发明专利8项、实用新型24项）、计算机软件著作权7项，取得科技成果评价2项，参与制定行业标准1项，并建有市级技术创新中心、省级智能工厂。</w:t>
      </w:r>
    </w:p>
    <w:p>
      <w:pPr>
        <w:spacing w:lineRule="exact" w:line="600" w:before="0" w:after="0"/>
        <w:ind w:firstLine="420"/>
        <w:jc w:val="both"/>
      </w:pPr>
      <w:r>
        <w:rPr>
          <w:rFonts w:ascii="仿宋_GB2312" w:hAnsi="仿宋_GB2312" w:eastAsia="仿宋_GB2312"/>
          <w:b w:val="0"/>
          <w:color w:val="000000"/>
          <w:sz w:val="32"/>
        </w:rPr>
        <w:t>资质与认证方面，公司为中国发酵工业协会理事单位、中国五矿化工进出口商会会员单位、中国食品添加剂和配料协会会员单位，先后通过ISO9001、ISO45001、ISO22000、FSSC22000、OU KOSHER、BRC、MUI HALAL、SHC HALAL、HACCP、GMP、非转基因IP等体系认证，认证覆盖质量管理、食品安全、清真、犹太、出口合规等多个维度，构成进入国际高端市场的准入壁垒。</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公司采取“以出口为主、内外销并举”的销售模式，产品销往130多个国家和地区，依托自营进出口与全球客户网络开展国际贸易。多体系认证使其具备向欧美、中东、东南亚等高端市场供货的合规能力。</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可公开引用的经营数据：投资30亿元、占地883亩、员工1000多人、年产45万吨高端柠檬酸、出口130多个国家和地区、2025年完成A轮融资。</w:t>
      </w:r>
    </w:p>
    <w:p>
      <w:pPr>
        <w:spacing w:lineRule="exact" w:line="600" w:before="0" w:after="0"/>
        <w:ind w:firstLine="420"/>
        <w:jc w:val="both"/>
      </w:pPr>
      <w:r>
        <w:rPr>
          <w:rFonts w:ascii="仿宋_GB2312" w:hAnsi="仿宋_GB2312" w:eastAsia="仿宋_GB2312"/>
          <w:b w:val="0"/>
          <w:color w:val="000000"/>
          <w:sz w:val="32"/>
        </w:rPr>
        <w:t>市场地位方面，公司年产45万吨柠檬酸位居世界前列，是中国发酵工业协会理事单位，并被评为山东省重大项目、临沂市“全市十大好项目”、“十佳乡村振兴项目”第一名，在柠檬酸细分领域具有显著的规模与技术话语权。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证券交易所或公开信息平台披露定期报告，完整财务报表未公开。经检索官网、工商信息平台及公开媒体，仅能获取投资规模（30亿元）、产能（45万吨）、参保人数（635人）等零散信息，未能获取连续年度的营业收入、净利润、毛利率、资产负债率、经营活动现金流量净额等财务指标。据此，本报告如实标注：财务数据未公开披露，不进行任何形式的推算或估计。</w:t>
      </w:r>
    </w:p>
    <w:p>
      <w:pPr>
        <w:spacing w:lineRule="exact" w:line="600" w:before="0" w:after="0"/>
        <w:ind w:firstLine="420"/>
        <w:jc w:val="both"/>
      </w:pPr>
      <w:r>
        <w:rPr>
          <w:rFonts w:ascii="仿宋_GB2312" w:hAnsi="仿宋_GB2312" w:eastAsia="仿宋_GB2312"/>
          <w:b w:val="0"/>
          <w:color w:val="000000"/>
          <w:sz w:val="32"/>
        </w:rPr>
        <w:t>可确认的量化信息仅有：注册资本66,500万元（实缴66,100万）、2025年参保635人、投资30亿元、占地883亩、年产45万吨高端柠檬酸、出口130多国、2025年完成A轮融资、发明专利与实用新型专利数十项。</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柠檬酸属大宗食品添加剂，价格受全球供需、原料（玉米）成本、能源与航运价格影响，周期性较强。公司作为全球前列的规模化生产商，具备单位成本摊薄与副产物综合利用优势，但盈利水平随行业周期波动，具体数据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大型发酵装置、厂房、土地（883亩）、存货与应收账款为主，固定资产比重大、专用性强。存货包括玉米原料、在产品和柠檬酸成品，受原料与产品价格波动影响存在跌价风险。应收账款规模取决于出口客户结构与账期，公司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实缴资本达66,100万元，资本实力雄厚；2025年完成A轮融资，说明其具备外部股权融资能力与机构认可。资产负债率未公开，但高实缴资本与A轮融资记录是偿债能力的正面信号。公开信息未显示公司存在失信被执行等重大负面记录（以司法机关权威查询为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公司作为重资产、出口型企业，经营活动现金流与出口回款、汇率及航运节奏相关；投资活动受装置维护与技改驱动；A轮融资为其提供权益性资金补充。因数据缺失，现金流量化分析无法开展。</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柠檬酸行业可比公司包括梅花生物、阜丰集团（均布局柠檬酸及氨基酸）等上市公司，其公开年报显示柠檬酸毛利率随周期波动明显。七星柠檬虽未上市，但45万吨产能位居世界前列，规模可与头部企业比肩。因公司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其他有限责任公司，股权以广州万博控股（约62.93%）为主导，地方产业基金（沂水新动能创投等）参投，形成“民资控股+国资参股的混合结构”，治理上相较纯民营企业在决策制衡与规范性上更具优势。公司董事、监事及高管具体名单未完全公开。</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显示公司董事长为刘成全（天眼查/爱企查登记）或刘明全（企查查疑似实控人），为核心决策者。其他高管信息有限。公司获评2025年省级民营经济高质量发展突出贡献企业，反映管理层在经营与资本运作上的表现获得认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公司作为食品出口企业，通过ISO9001、ISO22000、FSSC22000、HACCP及KOSHER、HALAL、BRC、GMP等多重认证，说明其建立了覆盖质量、食品安全与出口合规的体系化内控能力。公司未公开披露内控评价报告或第三方审计意见。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社保参保人数635人，官网称员工1000多人，差异可能源于参保口径与在岗用工（含劳务）口径不同。作为大型发酵企业，公司对发酵工程、自动化与质量技术人才需求较大，建有市级技术创新中心与省级智能工厂，并通过自主研发与院校合作提升技术水平。</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第一，规模壁垒。年产45万吨高端柠檬酸位居世界前列，规模效应带来原料采购、能源与单位成本的优势，是行业新进入者难以短期复制的门槛。</w:t>
      </w:r>
    </w:p>
    <w:p>
      <w:pPr>
        <w:spacing w:lineRule="exact" w:line="600" w:before="0" w:after="0"/>
        <w:ind w:firstLine="420"/>
        <w:jc w:val="both"/>
      </w:pPr>
      <w:r>
        <w:rPr>
          <w:rFonts w:ascii="仿宋_GB2312" w:hAnsi="仿宋_GB2312" w:eastAsia="仿宋_GB2312"/>
          <w:b w:val="0"/>
          <w:color w:val="000000"/>
          <w:sz w:val="32"/>
        </w:rPr>
        <w:t>第二，技术与认证壁垒。公司拥有多项发明与实用新型专利、软件著作权，参与制定行业标准，并通过ISO、FSSC22000、KOSHER、HALAL、BRC、GMP等全球主流认证，构成进入欧美及清真、犹太等细分市场的准入壁垒。</w:t>
      </w:r>
    </w:p>
    <w:p>
      <w:pPr>
        <w:spacing w:lineRule="exact" w:line="600" w:before="0" w:after="0"/>
        <w:ind w:firstLine="420"/>
        <w:jc w:val="both"/>
      </w:pPr>
      <w:r>
        <w:rPr>
          <w:rFonts w:ascii="仿宋_GB2312" w:hAnsi="仿宋_GB2312" w:eastAsia="仿宋_GB2312"/>
          <w:b w:val="0"/>
          <w:color w:val="000000"/>
          <w:sz w:val="32"/>
        </w:rPr>
        <w:t>第三，循环经济与成本优势。副产物（柠檬酸糟、玉米淀粉渣）转化为高端蛋白饲料、颗粒污泥，实现资源综合利用，提升整体盈利韧性。</w:t>
      </w:r>
    </w:p>
    <w:p>
      <w:pPr>
        <w:spacing w:lineRule="exact" w:line="600" w:before="0" w:after="0"/>
        <w:ind w:firstLine="420"/>
        <w:jc w:val="both"/>
      </w:pPr>
      <w:r>
        <w:rPr>
          <w:rFonts w:ascii="仿宋_GB2312" w:hAnsi="仿宋_GB2312" w:eastAsia="仿宋_GB2312"/>
          <w:b w:val="0"/>
          <w:color w:val="000000"/>
          <w:sz w:val="32"/>
        </w:rPr>
        <w:t>第四，资本与股东结构。实缴资本66,100万元、2025年A轮融资、国资产业基金参投，资本实力与资源协同较强。</w:t>
      </w:r>
    </w:p>
    <w:p>
      <w:pPr>
        <w:spacing w:lineRule="exact" w:line="600" w:before="0" w:after="0"/>
        <w:ind w:firstLine="420"/>
        <w:jc w:val="both"/>
      </w:pPr>
      <w:r>
        <w:rPr>
          <w:rFonts w:ascii="仿宋_GB2312" w:hAnsi="仿宋_GB2312" w:eastAsia="仿宋_GB2312"/>
          <w:b w:val="0"/>
          <w:color w:val="000000"/>
          <w:sz w:val="32"/>
        </w:rPr>
        <w:t>第五，全球市场与品牌。产品出口130多个国家和地区，国际市场网络广、客户分散，具备较强的全球渠道与抗区域风险能力。</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柠檬酸属大宗食品添加剂，全球供需格局下价格周期性明显；同时受玉米等原料价格、能源与海运成本、汇率波动多重影响。国际贸易摩擦、关税与技术标准变化也会冲击出口。</w:t>
      </w:r>
    </w:p>
    <w:p>
      <w:pPr>
        <w:spacing w:lineRule="exact" w:line="600" w:before="0" w:after="0"/>
        <w:ind w:firstLine="420"/>
        <w:jc w:val="both"/>
      </w:pPr>
      <w:r>
        <w:rPr>
          <w:rFonts w:ascii="仿宋_GB2312" w:hAnsi="仿宋_GB2312" w:eastAsia="仿宋_GB2312"/>
          <w:b w:val="0"/>
          <w:color w:val="000000"/>
          <w:sz w:val="32"/>
        </w:rPr>
        <w:t>应对措施：依托规模与副产物综合利用降本，通过多市场分散（130多国）平滑区域波动，运用外汇管理工具对冲汇率风险。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一是原料价格波动风险，玉米价格受气候、政策与国际贸易影响；二是出口业务风险，高外销占比下对汇率、贸易政策敏感；三是产能利用率风险，45万吨产能的产销匹配对营运资金要求高。</w:t>
      </w:r>
    </w:p>
    <w:p>
      <w:pPr>
        <w:spacing w:lineRule="exact" w:line="600" w:before="0" w:after="0"/>
        <w:ind w:firstLine="420"/>
        <w:jc w:val="both"/>
      </w:pPr>
      <w:r>
        <w:rPr>
          <w:rFonts w:ascii="仿宋_GB2312" w:hAnsi="仿宋_GB2312" w:eastAsia="仿宋_GB2312"/>
          <w:b w:val="0"/>
          <w:color w:val="000000"/>
          <w:sz w:val="32"/>
        </w:rPr>
        <w:t>应对措施：跨区域粮源组织、多体系认证保障出口合规、强化销售与回款管理。</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公司财务数据未公开，资产负债率与现金流状况无法评估。作为重资产企业，若后续扩产或技改投入过大、融资节奏不匹配，可能带来阶段性资金压力。因数据缺失，量化程度无法评估。</w:t>
      </w:r>
    </w:p>
    <w:p>
      <w:pPr>
        <w:spacing w:lineRule="exact" w:line="600" w:before="120" w:after="120"/>
        <w:ind w:firstLine="420"/>
        <w:jc w:val="left"/>
      </w:pPr>
      <w:r>
        <w:rPr>
          <w:rFonts w:ascii="楷体_GB2312" w:hAnsi="楷体_GB2312" w:eastAsia="楷体_GB2312"/>
          <w:b w:val="0"/>
          <w:color w:val="000000"/>
          <w:sz w:val="32"/>
        </w:rPr>
        <w:t>（四）安全环保与合规风险</w:t>
      </w:r>
    </w:p>
    <w:p>
      <w:pPr>
        <w:spacing w:lineRule="exact" w:line="600" w:before="0" w:after="0"/>
        <w:ind w:firstLine="420"/>
        <w:jc w:val="both"/>
      </w:pPr>
      <w:r>
        <w:rPr>
          <w:rFonts w:ascii="仿宋_GB2312" w:hAnsi="仿宋_GB2312" w:eastAsia="仿宋_GB2312"/>
          <w:b w:val="0"/>
          <w:color w:val="000000"/>
          <w:sz w:val="32"/>
        </w:rPr>
        <w:t>柠檬酸发酵产生废水（高COD）、废渣与废气，环保合规要求高，治污成本刚性；同时涉及危险化学品与压力容器等安全生产管理。一旦发生环保或安全事故，将面临停产整顿与行政处罚。</w:t>
      </w:r>
    </w:p>
    <w:p>
      <w:pPr>
        <w:spacing w:lineRule="exact" w:line="600" w:before="0" w:after="0"/>
        <w:ind w:firstLine="420"/>
        <w:jc w:val="both"/>
      </w:pPr>
      <w:r>
        <w:rPr>
          <w:rFonts w:ascii="仿宋_GB2312" w:hAnsi="仿宋_GB2312" w:eastAsia="仿宋_GB2312"/>
          <w:b w:val="0"/>
          <w:color w:val="000000"/>
          <w:sz w:val="32"/>
        </w:rPr>
        <w:t>应对措施：落实环保达标排放与副产物资源化，健全安全生产责任制与应急预案。</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公司地处县域，高端发酵工程与国际化经营人才引进难度较大；民资控股结构下，需关注控股股东（广州万博控股）自身经营状况对公司的影响，建议在授信中核查控股股东信用。</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七星柠檬规模全球领先、资本实力雄厚、A轮融资成功、出口网络广、认证体系完备，是沂水食品集群中“高成长、重资产、强出口”的标杆企业，建议列为优先合作的战略级客户，可开展中长期、较大额的综合金融服务。</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全球130多个国家和地区的出口形成大量应收账款，是开展国际保理与出口应收账款融资的优质基础资产。建议配套中国出口信用保险，开展出口保理与应收账款融资，融资比例可达发票金额80%，有效盘活出口回款、缓解营运资金占用。</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在采购端，为公司玉米等原料采购提供预付款融资，锁定低价粮源；在销售端，以真实出口订单为基础开展订单融资，将公司信用向上下游延伸。</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大型发酵罐、提取与结晶装置、自动化包装线等设备的更新与技改涉及大额投入。建议直租介入新增设备，租期5—8年匹配项目周期；对成新率较高的通用设备可售后回租补充流动资金，以其883亩土地与厂房作为增信补充，并要求控股股东或实控人连带担保。</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公司本身体量已超出典型小贷范围，但可将其作为链主，向上下游小微配套（粮源供应商、包装、物流）发放单户100万元以内短期贷款，以交易数据增信。</w:t>
      </w:r>
    </w:p>
    <w:p>
      <w:pPr>
        <w:spacing w:lineRule="exact" w:line="600" w:before="120" w:after="120"/>
        <w:ind w:firstLine="420"/>
        <w:jc w:val="left"/>
      </w:pPr>
      <w:r>
        <w:rPr>
          <w:rFonts w:ascii="楷体_GB2312" w:hAnsi="楷体_GB2312" w:eastAsia="楷体_GB2312"/>
          <w:b w:val="0"/>
          <w:color w:val="000000"/>
          <w:sz w:val="32"/>
        </w:rPr>
        <w:t>（六）综合服务与资本协同</w:t>
      </w:r>
    </w:p>
    <w:p>
      <w:pPr>
        <w:spacing w:lineRule="exact" w:line="600" w:before="0" w:after="0"/>
        <w:ind w:firstLine="420"/>
        <w:jc w:val="both"/>
      </w:pPr>
      <w:r>
        <w:rPr>
          <w:rFonts w:ascii="仿宋_GB2312" w:hAnsi="仿宋_GB2312" w:eastAsia="仿宋_GB2312"/>
          <w:b w:val="0"/>
          <w:color w:val="000000"/>
          <w:sz w:val="32"/>
        </w:rPr>
        <w:t>公司2025年完成A轮融资，具备进一步资本运作潜力。建议除债权业务外，可探索“股债联动”：一方面以融资租赁、保理、供应链金融满足其重资产与营运资金需求；另一方面关注其后续B轮或Pre-IPO机会，依托山东投资的产业资源提供增值服务，深化长期合作。</w:t>
      </w:r>
    </w:p>
    <w:p>
      <w:pPr>
        <w:spacing w:lineRule="exact" w:line="600" w:before="120" w:after="120"/>
        <w:ind w:firstLine="420"/>
        <w:jc w:val="left"/>
      </w:pPr>
      <w:r>
        <w:rPr>
          <w:rFonts w:ascii="楷体_GB2312" w:hAnsi="楷体_GB2312" w:eastAsia="楷体_GB2312"/>
          <w:b w:val="0"/>
          <w:color w:val="000000"/>
          <w:sz w:val="32"/>
        </w:rPr>
        <w:t>（七）尽职调查要点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核实控股股东广州万博控股及实际控制人信用状况；三是核查45万吨产能的实际达产率与出口回款真实性；四是核实土地、厂房权属与抵押状况；五是评估环保与安全生产合规记录。</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七星柠檬是沂水淀粉糖及休闲食品集群中投资规模最大、单体产能全球领先、出口网络最广的高成长标杆企业，实缴资本66,100万元、2025年A轮融资、省级智能工厂与市级技术创新中心等资质，叠加全球主流认证体系，构成显著的规模、技术与合规壁垒。</w:t>
      </w:r>
    </w:p>
    <w:p>
      <w:pPr>
        <w:spacing w:lineRule="exact" w:line="600" w:before="0" w:after="0"/>
        <w:ind w:firstLine="420"/>
        <w:jc w:val="both"/>
      </w:pPr>
      <w:r>
        <w:rPr>
          <w:rFonts w:ascii="仿宋_GB2312" w:hAnsi="仿宋_GB2312" w:eastAsia="仿宋_GB2312"/>
          <w:b w:val="0"/>
          <w:color w:val="000000"/>
          <w:sz w:val="32"/>
        </w:rPr>
        <w:t>相对不足在于：财务透明度不足，柠檬酸行业强周期属性下盈利波动较大，高外销占比带来汇率与贸易政策敏感性，且控股股东信用需在授信中重点核查。综合评价为“规模全球领先、资本与技术实力雄厚、但周期与透明度风险并存”的战略级成长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做全球最具竞争力的柠檬酸制造商”的愿景及已建成的45万吨产能，随着全球食品、日化、医药对柠檬酸需求持续增长，公司有望进一步巩固规模与技术领先地位；A轮融资与智能工厂建设为其向高端化、智能化升级提供支撑。</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一是柠檬酸行业强周期下的价格与盈利波动；二是原料（玉米）价格与能源、海运成本多重挤压；三是高外销占比的汇率与贸易政策风险；四是环保与安全生产刚性约束；五是财务透明度不足对外部评估的制约。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是本批次集群中最具战略价值的标的之一，适合作为中长期、综合化金融服务重点客户。建议：一是以出口保理与供应链金融快速切入、盘活回款；二是以融资租赁支持设备升级、拉长合作期限；三是把获取经审计财报与核查控股股东信用作为提额前置条件；四是关注柠檬酸行业价格周期与出口政策变化，动态调整风险敞口。</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七星柠檬科技有限公司官网（7lemonstar.com）“走进七星”栏目。</w:t>
      </w:r>
    </w:p>
    <w:p>
      <w:pPr>
        <w:spacing w:lineRule="exact" w:line="600" w:before="0" w:after="0"/>
        <w:jc w:val="left"/>
      </w:pPr>
      <w:r>
        <w:rPr>
          <w:rFonts w:ascii="仿宋_GB2312" w:hAnsi="仿宋_GB2312" w:eastAsia="仿宋_GB2312"/>
          <w:b w:val="0"/>
          <w:color w:val="000000"/>
          <w:sz w:val="28"/>
        </w:rPr>
        <w:t>2. 天眼查：七星柠檬科技有限公司企业基础信息与股权穿透（统一社会信用代码91371323MA3MLW872N）。</w:t>
      </w:r>
    </w:p>
    <w:p>
      <w:pPr>
        <w:spacing w:lineRule="exact" w:line="600" w:before="0" w:after="0"/>
        <w:jc w:val="left"/>
      </w:pPr>
      <w:r>
        <w:rPr>
          <w:rFonts w:ascii="仿宋_GB2312" w:hAnsi="仿宋_GB2312" w:eastAsia="仿宋_GB2312"/>
          <w:b w:val="0"/>
          <w:color w:val="000000"/>
          <w:sz w:val="28"/>
        </w:rPr>
        <w:t>3. 企查查/爱企查：七星柠檬科技有限公司企业信息（股东、社保、知识产权、荣誉）。</w:t>
      </w:r>
    </w:p>
    <w:p>
      <w:pPr>
        <w:spacing w:lineRule="exact" w:line="600" w:before="0" w:after="0"/>
        <w:jc w:val="left"/>
      </w:pPr>
      <w:r>
        <w:rPr>
          <w:rFonts w:ascii="仿宋_GB2312" w:hAnsi="仿宋_GB2312" w:eastAsia="仿宋_GB2312"/>
          <w:b w:val="0"/>
          <w:color w:val="000000"/>
          <w:sz w:val="28"/>
        </w:rPr>
        <w:t>4. 集群背景数据引自沂水县政府门户网站、企业公开资料。</w:t>
      </w:r>
    </w:p>
    <w:p>
      <w:pPr>
        <w:spacing w:lineRule="exact" w:line="600" w:before="0" w:after="0"/>
        <w:jc w:val="left"/>
      </w:pPr>
      <w:r>
        <w:rPr>
          <w:rFonts w:ascii="仿宋_GB2312" w:hAnsi="仿宋_GB2312" w:eastAsia="仿宋_GB2312"/>
          <w:b w:val="0"/>
          <w:color w:val="000000"/>
          <w:sz w:val="28"/>
        </w:rPr>
        <w:t>5. 本报告未使用任何未经公开披露的财务数据；公司完整财务报表未公开披露，已在正文中如实标注。</w:t>
      </w:r>
    </w:p>
    <w:p>
      <w:pPr>
        <w:spacing w:lineRule="exact" w:line="600" w:before="0" w:after="0"/>
        <w:jc w:val="left"/>
      </w:pPr>
      <w:r>
        <w:rPr>
          <w:rFonts w:ascii="仿宋_GB2312" w:hAnsi="仿宋_GB2312" w:eastAsia="仿宋_GB2312"/>
          <w:b w:val="0"/>
          <w:color w:val="000000"/>
          <w:sz w:val="28"/>
        </w:rPr>
        <w:t>6. 关于法定代表人“刘成全/刘明全”的不同登记表述，本报告已注明，以市场监督管理部门最新登记信息为准。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