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山东临沂沂水县(淀粉糖及休闲食品)特色产业集群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鲁洲生物科技（山东）有限公司企业分析报告</w:t>
      </w:r>
    </w:p>
    <w:p>
      <w:pPr>
        <w:spacing w:lineRule="exact" w:line="600" w:before="0" w:after="0"/>
        <w:jc w:val="left"/>
      </w:pPr>
      <w:r>
        <w:rPr>
          <w:rFonts w:ascii="仿宋_GB2312" w:hAnsi="仿宋_GB2312" w:eastAsia="仿宋_GB2312"/>
          <w:b w:val="0"/>
          <w:color w:val="000000"/>
          <w:sz w:val="28"/>
        </w:rPr>
        <w:t>（本报告依据鲁洲集团官方网站、鲁洲生物科技（山东）有限公司2021年度社会责任报告、临沂市工业和信息化局公开调研报道、爱企查/天眼查工商登记信息等公开渠道整理，统计时点截至最新公开披露信息。该公司为非上市外商投资企业，完整财务报表未公开披露，凡涉及财务数据处均已如实标注口径与来源，未作任何推算或虚构。工商登记中注册资本存在多个公开口径，本报告已分别列示并注明。）</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沂水县地处山东省临沂市北部，是全国著名的食品工业强县，食品产业规模长期位居全省前列，享有“中国食品城”的美誉。淀粉糖及休闲食品是沂水特色产业集群的重要板块，依托当地丰富的玉米等农产品资源和便利的交通物流条件，形成了以玉米精深加工、淀粉糖、休闲食品、柠檬酸（食品添加剂）为核心的产业链条。集群内企业梯次分布、层次分明：既有鲁洲生物这样起步于上世纪八十年代、隶属新加坡鲁洲集团的外商独资淀粉糖龙头，也有青援食品这样深耕方便食品与休闲食品、跻身农业产业化国家重点龙头企业的本土标杆，还有七星柠檬这样2018年新投产、投资规模超30亿元、年产45万吨高端柠檬酸、产品出口130多个国家和地区的新兴高成长企业。三家企业分别代表了玉米淀粉糖深加工、休闲方便食品、柠檬酸发酵三大方向，共同构成沂水“从田间到餐桌、从原料到终端”的食品工业集群版图。</w:t>
      </w:r>
    </w:p>
    <w:p>
      <w:pPr>
        <w:spacing w:lineRule="exact" w:line="600" w:before="0" w:after="0"/>
        <w:ind w:firstLine="420"/>
        <w:jc w:val="both"/>
      </w:pPr>
      <w:r>
        <w:rPr>
          <w:rFonts w:ascii="仿宋_GB2312" w:hAnsi="仿宋_GB2312" w:eastAsia="仿宋_GB2312"/>
          <w:b w:val="0"/>
          <w:color w:val="000000"/>
          <w:sz w:val="32"/>
        </w:rPr>
        <w:t>沂水食品产业集群的发展，得益于当地持续推动的产业链招商、技术改造与品牌培育。公开报道显示，沂水县食品产业在方便食品、淀粉糖、休闲食品等领域形成了较强的集聚效应，产品销往全国并远销海外。集群内骨干企业普遍重视质量管理与体系认证，多家通过了ISO9001、ISO22000、HACCP等体系认证，并在标准化、专利与品牌建设上持续投入。需要客观指出的是，淀粉糖及休闲食品行业整体面临原料（玉米等农产品）价格波动、下游需求变化、同质化竞争以及食品安全监管趋严等共性挑战，企业的盈利能力与抗周期能力与其规模、产品结构和技术壁垒高度相关。本报告所分析的三家企业，分别处于该集群的淀粉糖原料端、休闲食品终端与柠檬酸发酵出口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鲁洲生物科技（山东）有限公司（以下简称“鲁洲生物”或“公司”）成立于2004年11月22日，统一社会信用代码为91371300768718001L，登记机关为临沂市市场监督管理局，企业登记状态为开业。注册地址为山东省临沂市沂水县经济开发区振兴路，地处沂水县经济开发区，是沂水县发展较早的本地民营企业鲁洲集团旗下核心企业之一。</w:t>
      </w:r>
    </w:p>
    <w:p>
      <w:pPr>
        <w:spacing w:lineRule="exact" w:line="600" w:before="0" w:after="0"/>
        <w:ind w:firstLine="420"/>
        <w:jc w:val="both"/>
      </w:pPr>
      <w:r>
        <w:rPr>
          <w:rFonts w:ascii="仿宋_GB2312" w:hAnsi="仿宋_GB2312" w:eastAsia="仿宋_GB2312"/>
          <w:b w:val="0"/>
          <w:color w:val="000000"/>
          <w:sz w:val="32"/>
        </w:rPr>
        <w:t>公司企业类型为有限责任公司（外国法人独资），隶属新加坡鲁洲生物科技有限公司，系外商独资企业。关于注册资本，公开渠道存在多个口径：爱企查显示注册资本5,130万美元（实缴3,030万美元）；临沂市工业和信息化局2024年公开调研报道称“注册资本4130万美元”；部分第三方平台曾列示2,530万美元。上述差异可能源于历年增资、登记口径调整或不同统计时点，本报告不因单一来源下结论，提请尽职调查时以营业执照与公司章程为准。法定代表人据爱企查最新登记为牛思锋（部分早期平台曾登记为牛纪超），工商登记变更情况需以最新核准信息为准。</w:t>
      </w:r>
    </w:p>
    <w:p>
      <w:pPr>
        <w:spacing w:lineRule="exact" w:line="600" w:before="0" w:after="0"/>
        <w:ind w:firstLine="420"/>
        <w:jc w:val="both"/>
      </w:pPr>
      <w:r>
        <w:rPr>
          <w:rFonts w:ascii="仿宋_GB2312" w:hAnsi="仿宋_GB2312" w:eastAsia="仿宋_GB2312"/>
          <w:b w:val="0"/>
          <w:color w:val="000000"/>
          <w:sz w:val="32"/>
        </w:rPr>
        <w:t>公司经营范围为：生产、销售淀粉糖（低聚异麦芽糖、葡萄糖浆、麦芽糖、麦芽糊精、果葡糖浆、啤酒用糖浆、食用葡萄糖）；食品添加剂（山梨糖醇液、麦芽糖醇液）；食用植物油（玉米油）；配合饲料、浓缩饲料、单一饲料（玉米蛋白粉、喷浆玉米皮、玉米胚芽粕）等。国民经济行业分类属农副食品加工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鲁洲集团成员企业，按照“科、工、贸一体化”的集团化架构运营。集团层面设有国家认定企业技术中心、博士后科研工作站，其中技术中心被中国发酵工业协会认定为国内淀粉糖浆质量检测中心，承担集团研发、检测与技术标准职能。公司自身组织体系涵盖生产、技术、质量、销售、外贸等职能单元，并与江南大学、华南理工大学等高校建立产学研合作关系。公司未公开披露内部董事会、监事会及高级管理人员的完整名单。</w:t>
      </w:r>
    </w:p>
    <w:p>
      <w:pPr>
        <w:spacing w:lineRule="exact" w:line="600" w:before="0" w:after="0"/>
        <w:ind w:firstLine="420"/>
        <w:jc w:val="both"/>
      </w:pPr>
      <w:r>
        <w:rPr>
          <w:rFonts w:ascii="仿宋_GB2312" w:hAnsi="仿宋_GB2312" w:eastAsia="仿宋_GB2312"/>
          <w:b w:val="0"/>
          <w:color w:val="000000"/>
          <w:sz w:val="32"/>
        </w:rPr>
        <w:t>对外投资方面，公开工商信息显示鲁洲生物科技（山东）有限公司对外投资4家公司，具有4处分支机构，反映其以沂水基地为核心、对外适度扩张的组织形态。</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鲁洲集团始建于1988年，是沂水县发展较早的本地民营企业之一。2004年，新加坡鲁洲生物科技有限公司投资设立鲁洲生物科技（山东）有限公司，确立以玉米精深加工为主、生产各类淀粉糖的发展方向。</w:t>
      </w:r>
    </w:p>
    <w:p>
      <w:pPr>
        <w:spacing w:lineRule="exact" w:line="600" w:before="0" w:after="0"/>
        <w:ind w:firstLine="420"/>
        <w:jc w:val="both"/>
      </w:pPr>
      <w:r>
        <w:rPr>
          <w:rFonts w:ascii="仿宋_GB2312" w:hAnsi="仿宋_GB2312" w:eastAsia="仿宋_GB2312"/>
          <w:b w:val="0"/>
          <w:color w:val="000000"/>
          <w:sz w:val="32"/>
        </w:rPr>
        <w:t>经过多年发展，公司现形成年加工玉米40万吨、生产各类淀粉糖30万吨的规模，厂区占地约550亩（社会责任报告称600余亩），总资产10多亿元，员工600多人，产品远销日本、韩国、东南亚、中东、欧洲、南北美洲等30多个国家和地区。</w:t>
      </w:r>
    </w:p>
    <w:p>
      <w:pPr>
        <w:spacing w:lineRule="exact" w:line="600" w:before="0" w:after="0"/>
        <w:ind w:firstLine="420"/>
        <w:jc w:val="both"/>
      </w:pPr>
      <w:r>
        <w:rPr>
          <w:rFonts w:ascii="仿宋_GB2312" w:hAnsi="仿宋_GB2312" w:eastAsia="仿宋_GB2312"/>
          <w:b w:val="0"/>
          <w:color w:val="000000"/>
          <w:sz w:val="32"/>
        </w:rPr>
        <w:t>集团层面，鲁洲先后在沂水及辽宁抚顺、河南西平、四川彭山、陕西兴平等地投资设立淀粉糖生产基地，形成年加工玉米150万吨、生产各类淀粉糖120万吨、尿素及液氨等化工产品30万吨的综合能力，连续多年被评为沂水财政贡献功勋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公司战略定位为“玉米精深加工与淀粉糖综合供应商”，是集科、工、贸于一体的综合性农产品深加工企业，公司规模和市场份额居国内淀粉糖行业前列。</w:t>
      </w:r>
    </w:p>
    <w:p>
      <w:pPr>
        <w:spacing w:lineRule="exact" w:line="600" w:before="0" w:after="0"/>
        <w:ind w:firstLine="420"/>
        <w:jc w:val="both"/>
      </w:pPr>
      <w:r>
        <w:rPr>
          <w:rFonts w:ascii="仿宋_GB2312" w:hAnsi="仿宋_GB2312" w:eastAsia="仿宋_GB2312"/>
          <w:b w:val="0"/>
          <w:color w:val="000000"/>
          <w:sz w:val="32"/>
        </w:rPr>
        <w:t>主营业务涵盖淀粉糖系列产品的研发、生产与销售，主要产品为高麦芽糖浆、麦芽糊精、果葡糖浆、啤酒专用糖浆、低聚异麦芽糖（粉）、液体葡萄糖、麦芽糖醇、山梨醇、一水葡萄糖等；副产品包括玉米蛋白粉、玉米纤维、玉米胚芽等。产品主要应用于食品、糖果、饮料、啤酒及化工、发酵等行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源于淀粉糖主产品及玉米深加工副产品销售。公司未公开披露分产品收入构成比例。可确认的公开经营口径为：年深加工玉米40余万吨，生产各类淀粉糖产品30余万吨；据公司2021年度社会责任报告，2021年实现销售收入10亿元、出口创汇1300多万美元、实现利税4000万元。该口径为社会责任报告中披露的历史数据，非连续年度财报。</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第一类为高麦芽糖浆、葡萄糖浆、果葡糖浆、一水葡萄糖等基础淀粉糖，广泛应用于食品、饮料、糖果、啤酒等行业，是公司产能与收入的基本盘。</w:t>
      </w:r>
    </w:p>
    <w:p>
      <w:pPr>
        <w:spacing w:lineRule="exact" w:line="600" w:before="0" w:after="0"/>
        <w:ind w:firstLine="420"/>
        <w:jc w:val="both"/>
      </w:pPr>
      <w:r>
        <w:rPr>
          <w:rFonts w:ascii="仿宋_GB2312" w:hAnsi="仿宋_GB2312" w:eastAsia="仿宋_GB2312"/>
          <w:b w:val="0"/>
          <w:color w:val="000000"/>
          <w:sz w:val="32"/>
        </w:rPr>
        <w:t>第二类为麦芽糊精、低聚异麦芽糖等功能性糖（醇），附加值相对较高，其中低聚异麦芽糖属功能性低聚糖，在健康食品、保健品领域应用前景较好。</w:t>
      </w:r>
    </w:p>
    <w:p>
      <w:pPr>
        <w:spacing w:lineRule="exact" w:line="600" w:before="0" w:after="0"/>
        <w:ind w:firstLine="420"/>
        <w:jc w:val="both"/>
      </w:pPr>
      <w:r>
        <w:rPr>
          <w:rFonts w:ascii="仿宋_GB2312" w:hAnsi="仿宋_GB2312" w:eastAsia="仿宋_GB2312"/>
          <w:b w:val="0"/>
          <w:color w:val="000000"/>
          <w:sz w:val="32"/>
        </w:rPr>
        <w:t>第三类为山梨糖醇液、麦芽糖醇液等糖醇类产品，以及玉米油等食用植物油，属淀粉糖下游延伸与副产物综合利用，体现玉米“吃干榨净”的循环加工特点。</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下游覆盖食品、饮料、糖果、啤酒、发酵等多个行业，客户分布于国内并出口30多个国家和地区。由于淀粉糖属大宗食品添加剂，客户以食品加工企业、饮料与啤酒厂商为主，具有用量大、复购稳定、但对成本敏感的特点。公司未公开披露前五大客户名称及集中度，本报告不作估计。</w:t>
      </w:r>
    </w:p>
    <w:p>
      <w:pPr>
        <w:spacing w:lineRule="exact" w:line="600" w:before="0" w:after="0"/>
        <w:ind w:firstLine="420"/>
        <w:jc w:val="both"/>
      </w:pPr>
      <w:r>
        <w:rPr>
          <w:rFonts w:ascii="仿宋_GB2312" w:hAnsi="仿宋_GB2312" w:eastAsia="仿宋_GB2312"/>
          <w:b w:val="0"/>
          <w:color w:val="000000"/>
          <w:sz w:val="32"/>
        </w:rPr>
        <w:t>出口方面，公司产品远销日韩、东南亚、中东、欧洲、南北美洲等地，具备自营进出口与多区域市场开拓能力，出口市场分散有助于平滑单一区域需求波动。</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核心原料为玉米，属农产品大宗物资，采购受玉米价格波动、国家收储与临储政策、进出口贸易影响较大。公司地处沂水，周边为玉米产区，具备一定的原料就近采购优势，但大规模加工仍需跨区域组织粮源。公司未公开披露供应商名称及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年加工玉米40万吨、产淀粉糖30万吨，厂区占地约550亩，总资产10多亿元，是沂水经济开发区内规模最大的玉米深加工企业之一。技术资源方面，公司依托集团“国家认定企业技术中心”“博士后科研工作站”，拥有各类专利50多项，多项科研成果获国、省、市级奖励。</w:t>
      </w:r>
    </w:p>
    <w:p>
      <w:pPr>
        <w:spacing w:lineRule="exact" w:line="600" w:before="0" w:after="0"/>
        <w:ind w:firstLine="420"/>
        <w:jc w:val="both"/>
      </w:pPr>
      <w:r>
        <w:rPr>
          <w:rFonts w:ascii="仿宋_GB2312" w:hAnsi="仿宋_GB2312" w:eastAsia="仿宋_GB2312"/>
          <w:b w:val="0"/>
          <w:color w:val="000000"/>
          <w:sz w:val="32"/>
        </w:rPr>
        <w:t>牌照方面，公司作为食品生产企业，须持有食品生产许可、取得食品安全管理体系认证，并落实环保（废水、废气、废渣）与安全生产合规要求。具体证照编号未在公开渠道披露。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内贸直销+外贸出口”并重的销售模式，在国内面向食品加工企业供货，在海外通过自营与代理渠道拓展国际市场。集团层面通过在新加坡设立投资主体，为其国际化布局与跨境贸易提供便利。公司未公开披露具体销售网络与渠道结构。</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公开引用的经营数据包括：年加工玉米40万吨、产淀粉糖30万吨、员工600多人、总资产10多亿元；2021年销售收入10亿元、出口创汇1300多万美元、利税4000万元（公司社会责任报告口径）。此外，公开调研报道提到企业正借助新建“琥珀酸”项目增强竞争优势。</w:t>
      </w:r>
    </w:p>
    <w:p>
      <w:pPr>
        <w:spacing w:lineRule="exact" w:line="600" w:before="0" w:after="0"/>
        <w:ind w:firstLine="420"/>
        <w:jc w:val="both"/>
      </w:pPr>
      <w:r>
        <w:rPr>
          <w:rFonts w:ascii="仿宋_GB2312" w:hAnsi="仿宋_GB2312" w:eastAsia="仿宋_GB2312"/>
          <w:b w:val="0"/>
          <w:color w:val="000000"/>
          <w:sz w:val="32"/>
        </w:rPr>
        <w:t>市场地位方面，鲁洲集团被公开报道称为“国内淀粉糖行业前列”企业，是国内淀粉糖浆质量检测中心的依托单位，在淀粉糖细分领域具有较高的行业知名度与技术话语权。公司未公开披露具体市场占有率数据。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外商投资企业，未在证券交易所或巨潮资讯等平台披露定期报告，资产负债表、利润表、现金流量表均未公开。经检索公司官网、社会责任报告、政府门户网站及工商信息平台，仅能获取零散的经营口径数据（如2021年销售收入10亿元、利税4000万元），未能获取连续年度的营业收入、净利润、毛利率、资产负债率、经营活动现金流量净额等财务指标。据此，本报告如实标注：财务数据未公开披露，不进行任何形式的推算或估计。</w:t>
      </w:r>
    </w:p>
    <w:p>
      <w:pPr>
        <w:spacing w:lineRule="exact" w:line="600" w:before="0" w:after="0"/>
        <w:ind w:firstLine="420"/>
        <w:jc w:val="both"/>
      </w:pPr>
      <w:r>
        <w:rPr>
          <w:rFonts w:ascii="仿宋_GB2312" w:hAnsi="仿宋_GB2312" w:eastAsia="仿宋_GB2312"/>
          <w:b w:val="0"/>
          <w:color w:val="000000"/>
          <w:sz w:val="32"/>
        </w:rPr>
        <w:t>可确认的量化信息仅有：注册资本（多个公开口径，见前文）、年加工玉米40万吨、产淀粉糖30万吨、总资产10多亿元、员工600多人、2021年销售收入10亿元（社会责任报告口径）、2021年利税4000万元、专利50多项。</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情况下，本报告仅作定性判断。淀粉糖行业属农产品深加工，盈利能力受玉米原料价格与淀粉糖出厂价“价差”驱动，周期性较强；同时能源、环保与人工成本刚性上升。公司作为行业前列企业，具备规模与副产物综合利用优势，但外商独资结构下具体盈利水平不详。上述为基于行业规律的定性分析，非公司实际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装置、厂房、存货与应收账款为主，固定资产比重大、专用性强。存货包括玉米原料、在产品和淀粉糖成品，受原料与产品价格波动影响存在跌价风险。应收账款规模取决于下游食品企业结构与账期，公司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公司资产负债率、有息负债规模及期限结构均未公开。作为外商独资企业，其资金来源可能包括股东注资与银行融资，具体杠杆水平不详。因财务数据缺失，偿债能力无法量化评估。</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公司属重资产加工企业，投资活动受装置维护与技术改造（如琥珀酸项目）驱动，经营活动现金流与玉米采购节奏、产品销售回款高度相关。农产品加工企业普遍具有营运资金占用大、回款周期较长的特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同行业可比公司中，保龄宝、华康股份、百龙创园、三元生物等淀粉糖及功能糖上市公司均披露了完整财报。以行业规律看，大宗淀粉糖毛利率通常低于功能糖（如低聚异麦芽糖、阿洛酮糖等）产品。鲁洲生物虽在基础淀粉糖上规模领先，但受限于数据缺失，本报告不进行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外国法人独资的有限责任公司，最高决策权归属新加坡鲁洲生物科技有限公司，按《公司法》及公司章程设立相应治理机构。公司董事、监事及高级管理人员具体名单未公开披露。作为集团成员企业，其重大投资与战略方向受集团统筹。</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开信息中可确认的法定代表人为牛思锋（爱企查最新登记）。其他高管信息未公开。集团层面拥有国家认定企业技术中心与博士后科研工作站，技术管理团队与高校合作紧密，反映其具备一定的技术研发组织能力。</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作为食品与发酵生产企业，须建立健全食品安全、安全生产与环保管理体系。集团技术中心被认定为国内淀粉糖浆质量检测中心，说明其在质量检测与标准化方面具备体系化能力。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公司员工600多人，人员规模属中型制造企业配置。技术人才方面，公司依托集团技术中心、博士后工作站及与江南大学、华南理工大学的产学研合作弥补高端研发力量，拥有各类专利50多项，研发组织较为务实。</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第一，规模与产业链一体化优势。公司年加工玉米40万吨、产淀粉糖30万吨，集团层面年加工玉米150万吨、淀粉糖120万吨，规模居国内行业前列，具备显著的原料采购议价与单位成本摊薄能力。</w:t>
      </w:r>
    </w:p>
    <w:p>
      <w:pPr>
        <w:spacing w:lineRule="exact" w:line="600" w:before="0" w:after="0"/>
        <w:ind w:firstLine="420"/>
        <w:jc w:val="both"/>
      </w:pPr>
      <w:r>
        <w:rPr>
          <w:rFonts w:ascii="仿宋_GB2312" w:hAnsi="仿宋_GB2312" w:eastAsia="仿宋_GB2312"/>
          <w:b w:val="0"/>
          <w:color w:val="000000"/>
          <w:sz w:val="32"/>
        </w:rPr>
        <w:t>第二，技术与检测壁垒。集团拥有“国家认定企业技术中心”“博士后科研工作站”，技术中心被认定为国内淀粉糖浆质量检测中心，拥有专利50多项，在淀粉糖工艺、功能性糖与检测标准上形成技术与资质壁垒。</w:t>
      </w:r>
    </w:p>
    <w:p>
      <w:pPr>
        <w:spacing w:lineRule="exact" w:line="600" w:before="0" w:after="0"/>
        <w:ind w:firstLine="420"/>
        <w:jc w:val="both"/>
      </w:pPr>
      <w:r>
        <w:rPr>
          <w:rFonts w:ascii="仿宋_GB2312" w:hAnsi="仿宋_GB2312" w:eastAsia="仿宋_GB2312"/>
          <w:b w:val="0"/>
          <w:color w:val="000000"/>
          <w:sz w:val="32"/>
        </w:rPr>
        <w:t>第三，产品结构与副产物综合利用。公司从基础淀粉糖到功能性低聚糖、糖醇及玉米油，形成“主产品+副产品”的综合利用体系，提升整体盈利韧性。</w:t>
      </w:r>
    </w:p>
    <w:p>
      <w:pPr>
        <w:spacing w:lineRule="exact" w:line="600" w:before="0" w:after="0"/>
        <w:ind w:firstLine="420"/>
        <w:jc w:val="both"/>
      </w:pPr>
      <w:r>
        <w:rPr>
          <w:rFonts w:ascii="仿宋_GB2312" w:hAnsi="仿宋_GB2312" w:eastAsia="仿宋_GB2312"/>
          <w:b w:val="0"/>
          <w:color w:val="000000"/>
          <w:sz w:val="32"/>
        </w:rPr>
        <w:t>第四，国际化与品牌积淀。公司成立于2004年，背靠起步于1988年的鲁洲集团，产品出口30多个国家和地区，在外销渠道与国际客户资源上具备先发积累。</w:t>
      </w:r>
    </w:p>
    <w:p>
      <w:pPr>
        <w:spacing w:lineRule="exact" w:line="600" w:before="0" w:after="0"/>
        <w:ind w:firstLine="420"/>
        <w:jc w:val="both"/>
      </w:pPr>
      <w:r>
        <w:rPr>
          <w:rFonts w:ascii="仿宋_GB2312" w:hAnsi="仿宋_GB2312" w:eastAsia="仿宋_GB2312"/>
          <w:b w:val="0"/>
          <w:color w:val="000000"/>
          <w:sz w:val="32"/>
        </w:rPr>
        <w:t>需客观指出，基础淀粉糖同质化程度较高、周期性较强，公司护城河更多体现在规模与体系层面，在高端功能性糖的差异化深度上仍有提升空间。</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淀粉糖行业需求与食品饮料、啤酒等下游高度相关，同时受玉米等农产品价格周期影响，呈现“原料涨、产品难同步涨”的利润挤压特征。替代品（如果葡糖浆与蔗糖比价）波动也会传导至需求。</w:t>
      </w:r>
    </w:p>
    <w:p>
      <w:pPr>
        <w:spacing w:lineRule="exact" w:line="600" w:before="0" w:after="0"/>
        <w:ind w:firstLine="420"/>
        <w:jc w:val="both"/>
      </w:pPr>
      <w:r>
        <w:rPr>
          <w:rFonts w:ascii="仿宋_GB2312" w:hAnsi="仿宋_GB2312" w:eastAsia="仿宋_GB2312"/>
          <w:b w:val="0"/>
          <w:color w:val="000000"/>
          <w:sz w:val="32"/>
        </w:rPr>
        <w:t>应对措施：依托规模与副产物综合利用摊薄成本，向高附加值功能性糖、糖醇延伸，平滑周期波动。</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一是原料价格波动风险，玉米价格受气候、政策与国际贸易影响显著；二是客户与账期风险，下游食品企业回款周期长、集中度不明；三是出口业务面临的汇率与贸易政策风险。</w:t>
      </w:r>
    </w:p>
    <w:p>
      <w:pPr>
        <w:spacing w:lineRule="exact" w:line="600" w:before="0" w:after="0"/>
        <w:ind w:firstLine="420"/>
        <w:jc w:val="both"/>
      </w:pPr>
      <w:r>
        <w:rPr>
          <w:rFonts w:ascii="仿宋_GB2312" w:hAnsi="仿宋_GB2312" w:eastAsia="仿宋_GB2312"/>
          <w:b w:val="0"/>
          <w:color w:val="000000"/>
          <w:sz w:val="32"/>
        </w:rPr>
        <w:t>应对措施：通过跨区域粮源组织稳定供应，适度运用套期保值与外汇管理工具，优化客户结构。</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公司财务数据未公开，资产负债率与现金流状况无法评估。作为重资产加工企业，若产能扩张（如琥珀酸项目）与原料储备占用大量资金，可能带来流动性压力。因数据缺失，上述风险的量化程度无法评估。</w:t>
      </w:r>
    </w:p>
    <w:p>
      <w:pPr>
        <w:spacing w:lineRule="exact" w:line="600" w:before="120" w:after="120"/>
        <w:ind w:firstLine="420"/>
        <w:jc w:val="left"/>
      </w:pPr>
      <w:r>
        <w:rPr>
          <w:rFonts w:ascii="楷体_GB2312" w:hAnsi="楷体_GB2312" w:eastAsia="楷体_GB2312"/>
          <w:b w:val="0"/>
          <w:color w:val="000000"/>
          <w:sz w:val="32"/>
        </w:rPr>
        <w:t>（四）安全环保与合规风险</w:t>
      </w:r>
    </w:p>
    <w:p>
      <w:pPr>
        <w:spacing w:lineRule="exact" w:line="600" w:before="0" w:after="0"/>
        <w:ind w:firstLine="420"/>
        <w:jc w:val="both"/>
      </w:pPr>
      <w:r>
        <w:rPr>
          <w:rFonts w:ascii="仿宋_GB2312" w:hAnsi="仿宋_GB2312" w:eastAsia="仿宋_GB2312"/>
          <w:b w:val="0"/>
          <w:color w:val="000000"/>
          <w:sz w:val="32"/>
        </w:rPr>
        <w:t>玉米深加工与发酵过程产生废水（高COD）、废气与废渣，环保合规要求高，治污成本刚性。一旦发生环保超标或安全生产事故，将面临停产整顿、行政处罚及声誉损失。</w:t>
      </w:r>
    </w:p>
    <w:p>
      <w:pPr>
        <w:spacing w:lineRule="exact" w:line="600" w:before="0" w:after="0"/>
        <w:ind w:firstLine="420"/>
        <w:jc w:val="both"/>
      </w:pPr>
      <w:r>
        <w:rPr>
          <w:rFonts w:ascii="仿宋_GB2312" w:hAnsi="仿宋_GB2312" w:eastAsia="仿宋_GB2312"/>
          <w:b w:val="0"/>
          <w:color w:val="000000"/>
          <w:sz w:val="32"/>
        </w:rPr>
        <w:t>应对措施：落实环保“三同时”与达标排放，推进副产物资源化利用，降低处置成本与合规风险。</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公司地处县域，高端研发与国际化经营人才引进难度较大，对集团技术中心与高校合作依赖度较高；外商独资结构下，中外方在经营节奏上的协调亦需关注。</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（一）保理业务</w:t>
      </w:r>
    </w:p>
    <w:p>
      <w:pPr>
        <w:spacing w:lineRule="exact" w:line="600" w:before="0" w:after="0"/>
        <w:ind w:firstLine="420"/>
        <w:jc w:val="both"/>
      </w:pPr>
      <w:r>
        <w:rPr>
          <w:rFonts w:ascii="仿宋_GB2312" w:hAnsi="仿宋_GB2312" w:eastAsia="仿宋_GB2312"/>
          <w:b w:val="0"/>
          <w:color w:val="000000"/>
          <w:sz w:val="32"/>
        </w:rPr>
        <w:t>公司对下游食品、饮料、啤酒企业的销售普遍存在账期，随着产销规模扩大，应收账款规模同步增长。建议以公司对资信良好下游客户的应收账款为基础，开展有追索权保理，单笔额度与发票挂钩，缓解营运资金占用压力。风控要点在于核查买方资质、发票真实性与历史回款记录。</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公司作为沂水食品集群的玉米深加工核心企业，可在采购端为其提供原料（玉米）采购预付款融资，锁定低价粮源；在销售端围绕下游食品加工客户开展订单融资与保兑仓，将公司信用向上下游延伸，形成“一点接入、全链服务”的批量获客模式。</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装置维护、技术改造（如琥珀酸项目）及环保设备更新涉及大额设备投入。建议采用直租方式介入新增设备采购，租期匹配项目建设与达产周期；对成新率较高的通用设备可开展售后回租，盘活存量资产、补充流动资金。需注意化工与发酵专用装置处置价值较低，应提高保证金比例并追加担保。</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对公司本体而言，小贷额度难以匹配其资金需求，适用性有限。但可将小贷产品定位于服务其上下游的小微配套企业，如粮源供应商、物流承运商、包装与贸易商等，以公司交易数据为增信依据，发放单户100万元以内的短期流动资金贷款。</w:t>
      </w:r>
    </w:p>
    <w:p>
      <w:pPr>
        <w:spacing w:lineRule="exact" w:line="600" w:before="120" w:after="120"/>
        <w:ind w:firstLine="420"/>
        <w:jc w:val="left"/>
      </w:pPr>
      <w:r>
        <w:rPr>
          <w:rFonts w:ascii="楷体_GB2312" w:hAnsi="楷体_GB2312" w:eastAsia="楷体_GB2312"/>
          <w:b w:val="0"/>
          <w:color w:val="000000"/>
          <w:sz w:val="32"/>
        </w:rPr>
        <w:t>（五）综合服务方案建议</w:t>
      </w:r>
    </w:p>
    <w:p>
      <w:pPr>
        <w:spacing w:lineRule="exact" w:line="600" w:before="0" w:after="0"/>
        <w:ind w:firstLine="420"/>
        <w:jc w:val="both"/>
      </w:pPr>
      <w:r>
        <w:rPr>
          <w:rFonts w:ascii="仿宋_GB2312" w:hAnsi="仿宋_GB2312" w:eastAsia="仿宋_GB2312"/>
          <w:b w:val="0"/>
          <w:color w:val="000000"/>
          <w:sz w:val="32"/>
        </w:rPr>
        <w:t>建议将鲁洲生物作为沂水食品集群的重点战略客户建档，采取“先流动性、后中长期”的介入节奏：首期以保理与供应链金融切入，在合作中积累对其真实经营与回款的判断；待琥珀酸等技改项目进入实质建设阶段，再以融资租赁或项目融资深度参与。鉴于财务数据不公开，合作前应通过尽职调查获取近三年经审计财务报表、纳税记录、银行流水与用电用能数据，作为授信决策依据。</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鲁洲生物是沂水淀粉糖及休闲食品集群中规模与行业地位领先的核心企业，依托鲁洲集团的技术中心、博士后工作站与多年积淀，在玉米深加工、淀粉糖领域具备规模、技术与品牌综合优势，产品出口30多个国家和地区。综合评价为“规模优势突出、技术与体系完备、但财务透明度不足、周期属性较强”的行业龙头型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开报道，公司正借助新建“琥珀酸”项目增强竞争优势，并向功能性糖、糖醇等高附加值方向延伸。结合行业趋势，随着食品饮料、健康食品与发酵工业对功能性糖需求增长，公司有望在巩固基础淀粉糖规模优势的同时，提升高附加值产品占比。</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玉米原料价格波动与下游需求周期性带来的盈利波动；二是基础淀粉糖同质化竞争与毛利承压；三是环保与安全生产刚性约束下的运营成本上升；四是财务透明度不足对外部融资评估的制约；五是县域高端人才短缺对技术迭代的制约。</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将该企业列为重点跟踪与优先合作对象，但采取审慎渐进的授信策略。具体建议：一是优先开展自偿性强、期限短的保理与供应链金融业务，控制单户敞口；二是把获取经审计财务报表作为提额前置条件；三是关注琥珀酸等技改项目审批、环评、融资与开工进度，作为判断战略执行力的关键观测点；四是跟踪玉米价格与淀粉糖价差走势，动态调整风险敞口。</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鲁洲集团官方网站（luzhoubio.com）“企业荣誉”“产品中心”“新闻中心”栏目。</w:t>
      </w:r>
    </w:p>
    <w:p>
      <w:pPr>
        <w:spacing w:lineRule="exact" w:line="600" w:before="0" w:after="0"/>
        <w:jc w:val="left"/>
      </w:pPr>
      <w:r>
        <w:rPr>
          <w:rFonts w:ascii="仿宋_GB2312" w:hAnsi="仿宋_GB2312" w:eastAsia="仿宋_GB2312"/>
          <w:b w:val="0"/>
          <w:color w:val="000000"/>
          <w:sz w:val="28"/>
        </w:rPr>
        <w:t>2. 鲁洲生物科技（山东）有限公司2021年度社会责任报告（公司官网发布）。</w:t>
      </w:r>
    </w:p>
    <w:p>
      <w:pPr>
        <w:spacing w:lineRule="exact" w:line="600" w:before="0" w:after="0"/>
        <w:jc w:val="left"/>
      </w:pPr>
      <w:r>
        <w:rPr>
          <w:rFonts w:ascii="仿宋_GB2312" w:hAnsi="仿宋_GB2312" w:eastAsia="仿宋_GB2312"/>
          <w:b w:val="0"/>
          <w:color w:val="000000"/>
          <w:sz w:val="28"/>
        </w:rPr>
        <w:t>3. 临沂市工业和信息化局公开调研报道：《市工信局到龙家圈街道开展调研》（langya.cn，2024年）。</w:t>
      </w:r>
    </w:p>
    <w:p>
      <w:pPr>
        <w:spacing w:lineRule="exact" w:line="600" w:before="0" w:after="0"/>
        <w:jc w:val="left"/>
      </w:pPr>
      <w:r>
        <w:rPr>
          <w:rFonts w:ascii="仿宋_GB2312" w:hAnsi="仿宋_GB2312" w:eastAsia="仿宋_GB2312"/>
          <w:b w:val="0"/>
          <w:color w:val="000000"/>
          <w:sz w:val="28"/>
        </w:rPr>
        <w:t>4. 爱企查：鲁洲生物科技（山东）有限公司企业基础信息（统一社会信用代码91371300768718001L）。</w:t>
      </w:r>
    </w:p>
    <w:p>
      <w:pPr>
        <w:spacing w:lineRule="exact" w:line="600" w:before="0" w:after="0"/>
        <w:jc w:val="left"/>
      </w:pPr>
      <w:r>
        <w:rPr>
          <w:rFonts w:ascii="仿宋_GB2312" w:hAnsi="仿宋_GB2312" w:eastAsia="仿宋_GB2312"/>
          <w:b w:val="0"/>
          <w:color w:val="000000"/>
          <w:sz w:val="28"/>
        </w:rPr>
        <w:t>5. 集群背景数据引自沂水县政府门户网站、临沂市工信局公开报道及企业公开资料。</w:t>
      </w:r>
    </w:p>
    <w:p>
      <w:pPr>
        <w:spacing w:lineRule="exact" w:line="600" w:before="0" w:after="0"/>
        <w:jc w:val="left"/>
      </w:pPr>
      <w:r>
        <w:rPr>
          <w:rFonts w:ascii="仿宋_GB2312" w:hAnsi="仿宋_GB2312" w:eastAsia="仿宋_GB2312"/>
          <w:b w:val="0"/>
          <w:color w:val="000000"/>
          <w:sz w:val="28"/>
        </w:rPr>
        <w:t>6. 本报告未使用任何未经公开披露的财务数据；公司完整财务报表未公开披露，已在正文中如实标注，注册资本多口径差异已列示。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