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山东临沂经开区(工程机械)特色产业集群</w:t>
      </w:r>
    </w:p>
    <w:p>
      <w:pPr>
        <w:spacing w:lineRule="exact" w:line="600" w:before="240" w:after="240"/>
        <w:ind w:firstLine="0"/>
        <w:jc w:val="center"/>
      </w:pPr>
      <w:r>
        <w:rPr>
          <w:rFonts w:ascii="方正小标宋简体" w:hAnsi="方正小标宋简体" w:eastAsia="方正小标宋简体"/>
          <w:b w:val="0"/>
          <w:color w:val="000000"/>
          <w:sz w:val="44"/>
        </w:rPr>
        <w:t>临沂临工重托机械有限公司企业分析报告</w:t>
      </w:r>
    </w:p>
    <w:p>
      <w:pPr>
        <w:spacing w:lineRule="exact" w:line="600" w:before="0" w:after="0"/>
        <w:jc w:val="left"/>
      </w:pPr>
      <w:r>
        <w:rPr>
          <w:rFonts w:ascii="仿宋_GB2312" w:hAnsi="仿宋_GB2312" w:eastAsia="仿宋_GB2312"/>
          <w:b w:val="0"/>
          <w:color w:val="000000"/>
          <w:sz w:val="28"/>
        </w:rPr>
        <w:t>（本报告依据天眼查、启信宝、水滴信用公开工商登记信息，公司官网sdlgwl.com等公开渠道整理。需特别说明：该公司注册地为山东省临沂市蒙阴县经济开发区，并非临沂经济技术开发区，其归入本集群系基于同属临沂市工程机械产业链配套体系，本报告如实标注这一地理与行政区划差异。该公司为非上市企业，财务报表未公开披露，凡涉及财务处均如实标注，未作虚构。）</w:t>
      </w:r>
    </w:p>
    <w:p>
      <w:pPr>
        <w:spacing w:lineRule="exact" w:line="600" w:before="120" w:after="120"/>
        <w:ind w:firstLine="420"/>
        <w:jc w:val="left"/>
      </w:pPr>
      <w:r>
        <w:rPr>
          <w:rFonts w:ascii="黑体" w:hAnsi="黑体" w:eastAsia="黑体"/>
          <w:b w:val="0"/>
          <w:color w:val="000000"/>
          <w:sz w:val="32"/>
        </w:rPr>
        <w:t>引言：产业集群背景</w:t>
      </w:r>
    </w:p>
    <w:p>
      <w:pPr>
        <w:spacing w:lineRule="exact" w:line="600" w:before="0" w:after="0"/>
        <w:ind w:firstLine="420"/>
        <w:jc w:val="both"/>
      </w:pPr>
      <w:r>
        <w:rPr>
          <w:rFonts w:ascii="仿宋_GB2312" w:hAnsi="仿宋_GB2312" w:eastAsia="仿宋_GB2312"/>
          <w:b w:val="0"/>
          <w:color w:val="000000"/>
          <w:sz w:val="32"/>
        </w:rPr>
        <w:t>临沂市是我国重要的工程机械制造基地之一，工程机械被山东省列为19条标志性产业链之一重点培育。集群核心承载区为临沂经济技术开发区（现已整体纳入临沂沂河新区管理），以山东临工工程机械有限公司为龙头链主，周边聚集300余家产业链上下游企业，形成从整机制造到液压件、变速箱、驱动桥、驾驶室、结构件、平衡铁等关键零部件的完整配套体系。据新浪财经《闪电评论》援引官方口径，依托链主带动与本地配套，山东临工新产品开发从设计图到样机仅需4至5个月，产业链协同效率显著。</w:t>
      </w:r>
    </w:p>
    <w:p>
      <w:pPr>
        <w:spacing w:lineRule="exact" w:line="600" w:before="0" w:after="0"/>
        <w:ind w:firstLine="420"/>
        <w:jc w:val="both"/>
      </w:pPr>
      <w:r>
        <w:rPr>
          <w:rFonts w:ascii="仿宋_GB2312" w:hAnsi="仿宋_GB2312" w:eastAsia="仿宋_GB2312"/>
          <w:b w:val="0"/>
          <w:color w:val="000000"/>
          <w:sz w:val="32"/>
        </w:rPr>
        <w:t>外贸方面，沂河新区2024年完成进出口377.5亿元，位居临沂全市第一，其中实体贸易企业实现42亿元、同比增长8.3%，新业态贸易209亿元、同比增长30%。临沂市在液压领域建有国家高端液压元件产业集群集聚区，为工程机械核心零部件的国产化替代提供了产业土壤。本报告所分析的三家企业分别处于整机制造、整机与部件配套、液压核心部件三个链条位置，构成集群的典型剖面。</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临沂临工重托机械有限公司（英文名Linyi Lingong Heavy Industry Machinery Co., Ltd.，以下简称“临工重托”或“公司”）成立于2010年11月26日，统一社会信用代码91371328565248580R，注册号371328200004012，组织机构代码56524858-0，登记机关为蒙阴县市场监督管理局，企业登记状态为存续，营业期限自2010年11月26日至无固定期限。</w:t>
      </w:r>
    </w:p>
    <w:p>
      <w:pPr>
        <w:spacing w:lineRule="exact" w:line="600" w:before="0" w:after="0"/>
        <w:ind w:firstLine="420"/>
        <w:jc w:val="both"/>
      </w:pPr>
      <w:r>
        <w:rPr>
          <w:rFonts w:ascii="仿宋_GB2312" w:hAnsi="仿宋_GB2312" w:eastAsia="仿宋_GB2312"/>
          <w:b w:val="0"/>
          <w:color w:val="000000"/>
          <w:sz w:val="32"/>
        </w:rPr>
        <w:t>公司注册地址为山东省临沂市蒙阴县经济开发区，通信地址同为蒙阴县经济开发区（2025年报）。需客观指出，该地址位于临沂市蒙阴县，与本产业集群核心承载区临沂经济技术开发区（沂河新区）存在约100公里的空间距离，其纳入本集群名录应理解为同属临沂市工程机械产业链的配套企业。</w:t>
      </w:r>
    </w:p>
    <w:p>
      <w:pPr>
        <w:spacing w:lineRule="exact" w:line="600" w:before="0" w:after="0"/>
        <w:ind w:firstLine="420"/>
        <w:jc w:val="both"/>
      </w:pPr>
      <w:r>
        <w:rPr>
          <w:rFonts w:ascii="仿宋_GB2312" w:hAnsi="仿宋_GB2312" w:eastAsia="仿宋_GB2312"/>
          <w:b w:val="0"/>
          <w:color w:val="000000"/>
          <w:sz w:val="32"/>
        </w:rPr>
        <w:t>公司注册资本6500万元人民币，实缴资本6500万元，实缴率100%。企业类型为有限责任公司（自然人投资或控股的法人独资），法定代表人为潘仲兴（同时任总经理、执行董事），姜秀爱任监事。公司为增值税一般纳税人，持有进出口企业代码3700565248580、海关注册编码3715964821，具备自营进出口资质。</w:t>
      </w:r>
    </w:p>
    <w:p>
      <w:pPr>
        <w:spacing w:lineRule="exact" w:line="600" w:before="0" w:after="0"/>
        <w:ind w:firstLine="420"/>
        <w:jc w:val="both"/>
      </w:pPr>
      <w:r>
        <w:rPr>
          <w:rFonts w:ascii="仿宋_GB2312" w:hAnsi="仿宋_GB2312" w:eastAsia="仿宋_GB2312"/>
          <w:b w:val="0"/>
          <w:color w:val="000000"/>
          <w:sz w:val="32"/>
        </w:rPr>
        <w:t>股权结构方面，公司由临沂临工机械集团有限公司100%持股（认缴出资6500万元，出资日期2019年5月31日）。这一点极为关键：临沂临工机械集团有限公司同时持有山东临工工程机械有限公司30%股权，因此临工重托与山东临工同属临工机械集团体系下的关联企业，为兄弟公司关系。临工机械集团的股东为王志中（34.6067%）、临远肆号（26.3563%）、临远壹号（20.9631%）、临远贰号（9.8555%）、文德刚（5.1364%）、临远叁号（3.0819%），实际控制人指向以王志中为核心的管理层团队。</w:t>
      </w:r>
    </w:p>
    <w:p>
      <w:pPr>
        <w:spacing w:lineRule="exact" w:line="600" w:before="0" w:after="0"/>
        <w:ind w:firstLine="420"/>
        <w:jc w:val="both"/>
      </w:pPr>
      <w:r>
        <w:rPr>
          <w:rFonts w:ascii="仿宋_GB2312" w:hAnsi="仿宋_GB2312" w:eastAsia="仿宋_GB2312"/>
          <w:b w:val="0"/>
          <w:color w:val="000000"/>
          <w:sz w:val="32"/>
        </w:rPr>
        <w:t>人员规模方面，天眼查显示人员规模500—999人、参保人数511人；启信宝显示企业规模为中型、员工数量511人（2025年工商年报社保人数）；水滴信用显示参保人数505人（2025年报）。综合判断公司实际用工规模在500人左右，属中型企业。公司明确标注“不是小微企业”。</w:t>
      </w:r>
    </w:p>
    <w:p>
      <w:pPr>
        <w:spacing w:lineRule="exact" w:line="600" w:before="0" w:after="0"/>
        <w:ind w:firstLine="420"/>
        <w:jc w:val="both"/>
      </w:pPr>
      <w:r>
        <w:rPr>
          <w:rFonts w:ascii="仿宋_GB2312" w:hAnsi="仿宋_GB2312" w:eastAsia="仿宋_GB2312"/>
          <w:b w:val="0"/>
          <w:color w:val="000000"/>
          <w:sz w:val="32"/>
        </w:rPr>
        <w:t>经营范围为：工程机械及零部件技术开发、制造、销售、维修；润滑油销售；货物进出口业务。国民经济行业分类在不同平台略有差异，天眼查归为“专用设备制造业〉采矿、冶金、建筑专用设备制造〉建筑工程用机械制造”，启信宝归为“铸造机械制造（C3423）”，水滴信用归为“通用设备制造业”，反映公司业务兼具整机制造与铸造/零部件加工属性。</w:t>
      </w:r>
    </w:p>
    <w:p>
      <w:pPr>
        <w:spacing w:lineRule="exact" w:line="600" w:before="120" w:after="120"/>
        <w:ind w:firstLine="420"/>
        <w:jc w:val="left"/>
      </w:pPr>
      <w:r>
        <w:rPr>
          <w:rFonts w:ascii="楷体_GB2312" w:hAnsi="楷体_GB2312" w:eastAsia="楷体_GB2312"/>
          <w:b w:val="0"/>
          <w:color w:val="000000"/>
          <w:sz w:val="32"/>
        </w:rPr>
        <w:t>（二）组织架构与历史沿革</w:t>
      </w:r>
    </w:p>
    <w:p>
      <w:pPr>
        <w:spacing w:lineRule="exact" w:line="600" w:before="0" w:after="0"/>
        <w:ind w:firstLine="420"/>
        <w:jc w:val="both"/>
      </w:pPr>
      <w:r>
        <w:rPr>
          <w:rFonts w:ascii="仿宋_GB2312" w:hAnsi="仿宋_GB2312" w:eastAsia="仿宋_GB2312"/>
          <w:b w:val="0"/>
          <w:color w:val="000000"/>
          <w:sz w:val="32"/>
        </w:rPr>
        <w:t>公司历史沿革较为特殊，曾多次更名。据水滴信用披露的曾用名记录，公司先后使用过“山东华伟路面机械有限公司”“山东华伟重工机械有限公司”“山东恒伟重工有限公司”等名称；启信宝记录显示“山东华伟重工机械有限公司”使用期间为2011年10月24日至2018年1月4日。工商自主公示的股东及出资信息中，早期股东为山东华伟集团有限公司（认缴出资1500万元，2010年11月23日，实缴1500万元）。</w:t>
      </w:r>
    </w:p>
    <w:p>
      <w:pPr>
        <w:spacing w:lineRule="exact" w:line="600" w:before="0" w:after="0"/>
        <w:ind w:firstLine="420"/>
        <w:jc w:val="both"/>
      </w:pPr>
      <w:r>
        <w:rPr>
          <w:rFonts w:ascii="仿宋_GB2312" w:hAnsi="仿宋_GB2312" w:eastAsia="仿宋_GB2312"/>
          <w:b w:val="0"/>
          <w:color w:val="000000"/>
          <w:sz w:val="32"/>
        </w:rPr>
        <w:t>据此可以梳理出公司的发展脉络：2010年11月由山东华伟集团有限公司出资1500万元设立，初期定位为路面机械制造；2011年更名为山东华伟重工机械有限公司；2018年前后更名为山东恒伟重工有限公司；2019年5月31日临沂临工机械集团有限公司完成100%控股并将注册资本增至6500万元，公司随之更名为临沂临工重托机械有限公司，正式并入临工体系。公司累计发生变更记录38次（水滴信用口径），连续13年提交企业年报（2013年度至2025年度），工商合规状况良好。</w:t>
      </w:r>
    </w:p>
    <w:p>
      <w:pPr>
        <w:spacing w:lineRule="exact" w:line="600" w:before="0" w:after="0"/>
        <w:ind w:firstLine="420"/>
        <w:jc w:val="both"/>
      </w:pPr>
      <w:r>
        <w:rPr>
          <w:rFonts w:ascii="仿宋_GB2312" w:hAnsi="仿宋_GB2312" w:eastAsia="仿宋_GB2312"/>
          <w:b w:val="0"/>
          <w:color w:val="000000"/>
          <w:sz w:val="32"/>
        </w:rPr>
        <w:t>公司官网域名为sdlgwl.com，网站标注业务为“挖掘机—装载机”，与其“临工重托”品牌定位一致。公司多个企业邮箱后缀为@sdlgwl.com，另有邮箱后缀@sdhw.cn（推测为原山东华伟集团遗留）。</w:t>
      </w:r>
    </w:p>
    <w:p>
      <w:pPr>
        <w:spacing w:lineRule="exact" w:line="600" w:before="120" w:after="120"/>
        <w:ind w:firstLine="420"/>
        <w:jc w:val="left"/>
      </w:pPr>
      <w:r>
        <w:rPr>
          <w:rFonts w:ascii="楷体_GB2312" w:hAnsi="楷体_GB2312" w:eastAsia="楷体_GB2312"/>
          <w:b w:val="0"/>
          <w:color w:val="000000"/>
          <w:sz w:val="32"/>
        </w:rPr>
        <w:t>（三）企业定位与主营业务</w:t>
      </w:r>
    </w:p>
    <w:p>
      <w:pPr>
        <w:spacing w:lineRule="exact" w:line="600" w:before="0" w:after="0"/>
        <w:ind w:firstLine="420"/>
        <w:jc w:val="both"/>
      </w:pPr>
      <w:r>
        <w:rPr>
          <w:rFonts w:ascii="仿宋_GB2312" w:hAnsi="仿宋_GB2312" w:eastAsia="仿宋_GB2312"/>
          <w:b w:val="0"/>
          <w:color w:val="000000"/>
          <w:sz w:val="32"/>
        </w:rPr>
        <w:t>公司定位为临工机械集团体系内的工程机械制造与零部件配套企业，以“临工重托”为品牌，主营工程机械及零部件的技术开发、制造、销售与维修。结合官网“挖掘机—装载机”的业务标注、“铸造机械制造”的行业分类，以及历史沿革中的路面机械基因，判断公司业务涵盖整机制造（挖掘机、装载机）与铸造类结构件、零部件加工两个方向，在集群中承担核心结构件及部件配套职能。</w:t>
      </w:r>
    </w:p>
    <w:p>
      <w:pPr>
        <w:spacing w:lineRule="exact" w:line="600" w:before="0" w:after="0"/>
        <w:ind w:firstLine="420"/>
        <w:jc w:val="both"/>
      </w:pPr>
      <w:r>
        <w:rPr>
          <w:rFonts w:ascii="仿宋_GB2312" w:hAnsi="仿宋_GB2312" w:eastAsia="仿宋_GB2312"/>
          <w:b w:val="0"/>
          <w:color w:val="000000"/>
          <w:sz w:val="32"/>
        </w:rPr>
        <w:t>公司未在公开渠道详细披露具体产品型号、产能规模与技术参数，本报告不作推测，建议在尽职调查中通过实地走访核实。</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未公开披露营业收入规模与分产品收入构成。从企业属性判断，其收入来源主要有二：一是对临工体系内（尤其是山东临工）的结构件、零部件配套供应；二是“临工重托”品牌整机产品的对外销售。前者属关联交易，收入稳定性高但议价空间受限；后者面向市场竞争，但需与母体品牌“山东临工（SDLG）”做好定位区隔。</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根据经营范围与官网标注，公司产品与服务包括：一是工程机械整机，官网标注涵盖挖掘机、装载机；二是工程机械零部件，结合“铸造机械制造”的行业分类判断，可能涉及铸造类结构件（如平衡铁、机架、铲斗、履带架等）；三是工程机械维修服务；四是润滑油销售，属售后耗材配套业务；五是货物进出口业务。</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客户结构具有明显的“关联交易主导”特征。作为临工机械集团全资子公司，其最主要的客户很可能是同属集团体系的山东临工工程机械有限公司及其他关联主体。这一结构的优势是订单稳定、回款有保障、无需承担高额市场开拓成本；劣势是对单一客户依赖度极高，定价受集团内部转移定价政策约束，独立盈利能力难以判断，且一旦母体经营波动将直接传导。</w:t>
      </w:r>
    </w:p>
    <w:p>
      <w:pPr>
        <w:spacing w:lineRule="exact" w:line="600" w:before="0" w:after="0"/>
        <w:ind w:firstLine="420"/>
        <w:jc w:val="both"/>
      </w:pPr>
      <w:r>
        <w:rPr>
          <w:rFonts w:ascii="仿宋_GB2312" w:hAnsi="仿宋_GB2312" w:eastAsia="仿宋_GB2312"/>
          <w:b w:val="0"/>
          <w:color w:val="000000"/>
          <w:sz w:val="32"/>
        </w:rPr>
        <w:t>公司具备自营进出口资质并持有海关注册编码，说明存在一定的直接出口业务，客户可能包括海外经销商或整机厂。公司未公开披露前五大客户及集中度，本报告不作估计，建议在尽调中重点核实关联交易占比。</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公司主要原材料为钢材（板材、型材）、铸件毛坯、液压元件、发动机及各类标准件。若涉及铸造业务，则还需采购生铁、废钢、造型材料及能源（电力、天然气）。临沂地区钢材贸易发达，临沂商城为全国重要的商贸物流集散地，原材料采购便利。公司未公开披露供应商信息。</w:t>
      </w:r>
    </w:p>
    <w:p>
      <w:pPr>
        <w:spacing w:lineRule="exact" w:line="600" w:before="120" w:after="120"/>
        <w:ind w:firstLine="420"/>
        <w:jc w:val="left"/>
      </w:pPr>
      <w:r>
        <w:rPr>
          <w:rFonts w:ascii="楷体_GB2312" w:hAnsi="楷体_GB2312" w:eastAsia="楷体_GB2312"/>
          <w:b w:val="0"/>
          <w:color w:val="000000"/>
          <w:sz w:val="32"/>
        </w:rPr>
        <w:t>（五）产能与资质</w:t>
      </w:r>
    </w:p>
    <w:p>
      <w:pPr>
        <w:spacing w:lineRule="exact" w:line="600" w:before="0" w:after="0"/>
        <w:ind w:firstLine="420"/>
        <w:jc w:val="both"/>
      </w:pPr>
      <w:r>
        <w:rPr>
          <w:rFonts w:ascii="仿宋_GB2312" w:hAnsi="仿宋_GB2312" w:eastAsia="仿宋_GB2312"/>
          <w:b w:val="0"/>
          <w:color w:val="000000"/>
          <w:sz w:val="32"/>
        </w:rPr>
        <w:t>公司参保员工约505—511人，注册资本与实缴资本均为6500万元，结合中型企业的规模认定，推测其固定资产投资与产能规模在集群内属中等偏上水平。具体产能数据未公开披露。</w:t>
      </w:r>
    </w:p>
    <w:p>
      <w:pPr>
        <w:spacing w:lineRule="exact" w:line="600" w:before="0" w:after="0"/>
        <w:ind w:firstLine="420"/>
        <w:jc w:val="both"/>
      </w:pPr>
      <w:r>
        <w:rPr>
          <w:rFonts w:ascii="仿宋_GB2312" w:hAnsi="仿宋_GB2312" w:eastAsia="仿宋_GB2312"/>
          <w:b w:val="0"/>
          <w:color w:val="000000"/>
          <w:sz w:val="32"/>
        </w:rPr>
        <w:t>资质方面，公开渠道未显示公司获得高新技术企业、专精特新等资质认定，这与其兄弟公司山东临工、以及本集群另一家企业山东金利液压形成明显反差，提示公司在技术创新与资质建设方面可能相对薄弱，或其技术研发职能由集团层面统一承担。</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公司销售渠道以体系内配套为主，辅以“临工重托”品牌的自主销售与出口。公司拥有独立官网（sdlgwl.com）与联系电话（0539-7145555），具备一定的对外营销能力。但相较于山东临工覆盖130余个国家和地区的全球网络，临工重托的自主渠道建设明显处于起步阶段。</w:t>
      </w:r>
    </w:p>
    <w:p>
      <w:pPr>
        <w:spacing w:lineRule="exact" w:line="600" w:before="120" w:after="120"/>
        <w:ind w:firstLine="420"/>
        <w:jc w:val="left"/>
      </w:pPr>
      <w:r>
        <w:rPr>
          <w:rFonts w:ascii="楷体_GB2312" w:hAnsi="楷体_GB2312" w:eastAsia="楷体_GB2312"/>
          <w:b w:val="0"/>
          <w:color w:val="000000"/>
          <w:sz w:val="32"/>
        </w:rPr>
        <w:t>（七）经营数据与市场地位</w:t>
      </w:r>
    </w:p>
    <w:p>
      <w:pPr>
        <w:spacing w:lineRule="exact" w:line="600" w:before="0" w:after="0"/>
        <w:ind w:firstLine="420"/>
        <w:jc w:val="both"/>
      </w:pPr>
      <w:r>
        <w:rPr>
          <w:rFonts w:ascii="仿宋_GB2312" w:hAnsi="仿宋_GB2312" w:eastAsia="仿宋_GB2312"/>
          <w:b w:val="0"/>
          <w:color w:val="000000"/>
          <w:sz w:val="32"/>
        </w:rPr>
        <w:t>公司未公开披露产量、产值、市场占有率等经营数据。启信宝对其经营状况的定性评价为：日常经营“表现正常”、法律诉讼“稳健向好”、经营活力“表现正常”、企业合规“表现正常”、内部管理“稳健向好”、企业存续“表现正常”，整体风险评价为正面，未见重大风险提示。这是一个重要的正面信号——在集群内多数中小企业存在司法纠纷的情况下，公司的合规与法律风险表现良好。</w:t>
      </w:r>
    </w:p>
    <w:p>
      <w:pPr>
        <w:spacing w:lineRule="exact" w:line="600" w:before="0" w:after="0"/>
        <w:ind w:firstLine="420"/>
        <w:jc w:val="both"/>
      </w:pPr>
      <w:r>
        <w:rPr>
          <w:rFonts w:ascii="仿宋_GB2312" w:hAnsi="仿宋_GB2312" w:eastAsia="仿宋_GB2312"/>
          <w:b w:val="0"/>
          <w:color w:val="000000"/>
          <w:sz w:val="32"/>
        </w:rPr>
        <w:t>市场地位方面，公司作为临工机械集团的全资制造平台，在集团内部具有明确的功能定位，但在独立市场竞争中的品牌影响力与市场份额缺乏公开数据支撑，本报告不作评价。</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公司为非上市有限责任公司，无法定信息披露义务。经检索天眼查、启信宝、水滴信用、公司官网及公开媒体，未能获取公司营业收入、净利润、毛利率、资产总额、负债总额、资产负债率、经营活动现金流量净额等任何财务指标。本报告如实标注：财务数据未公开披露，不作任何推算。</w:t>
      </w:r>
    </w:p>
    <w:p>
      <w:pPr>
        <w:spacing w:lineRule="exact" w:line="600" w:before="0" w:after="0"/>
        <w:ind w:firstLine="420"/>
        <w:jc w:val="both"/>
      </w:pPr>
      <w:r>
        <w:rPr>
          <w:rFonts w:ascii="仿宋_GB2312" w:hAnsi="仿宋_GB2312" w:eastAsia="仿宋_GB2312"/>
          <w:b w:val="0"/>
          <w:color w:val="000000"/>
          <w:sz w:val="32"/>
        </w:rPr>
        <w:t>可确认的量化信息为：注册资本6500万元、实缴资本6500万元（实缴率100%）；参保人数505—511人；企业规模认定为中型（非小微企业）；增值税一般纳税人；连续13年提交企业年报（2013—2025年度）。其中，实缴资本100%到位是较强的正面信号，说明股东出资真实、资本充实。</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定性判断：公司作为集团内部配套制造平台，其盈利水平主要取决于集团内部转移定价政策。通常此类主体被设定为“微利运行”，利润更多在集团层面体现。因此，即便获取其财务报表，也需结合关联交易定价的公允性进行调整分析。工程机械结构件与铸造加工行业的独立第三方毛利率通常在10%—18%区间。</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公司资产以厂房、铸造与机加工设备、存货和对关联方的应收账款为主。若从事铸造业务，其熔炼炉、造型线等设备专用性强、处置难度大。应收账款方面，因主要客户为关联方，账龄与回收风险取决于集团内部结算安排，表面账面质量可能较好但缺乏独立性。</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资产负债率未公开。正面因素：实缴资本6500万元全额到位；启信宝风险评价显示法律诉讼“稳健向好”、企业合规“表现正常”，未发现被执行人、失信被执行人记录；连续13年年报申报无异常。这些均指向公司信用状况良好。</w:t>
      </w:r>
    </w:p>
    <w:p>
      <w:pPr>
        <w:spacing w:lineRule="exact" w:line="600" w:before="0" w:after="0"/>
        <w:ind w:firstLine="420"/>
        <w:jc w:val="both"/>
      </w:pPr>
      <w:r>
        <w:rPr>
          <w:rFonts w:ascii="仿宋_GB2312" w:hAnsi="仿宋_GB2312" w:eastAsia="仿宋_GB2312"/>
          <w:b w:val="0"/>
          <w:color w:val="000000"/>
          <w:sz w:val="32"/>
        </w:rPr>
        <w:t>需关注因素：公司为集团全资子公司，可能存在为关联方提供担保或被集团统一调配资金的情况，需在尽调中核查其对外担保与资金占用情况。</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现金流量表未公开。定性判断：若主要客户为关联方，经营性现金流的稳定性取决于集团结算周期；若集团采用集中资金管理（资金池），则公司账面货币资金可能被上划，实际可自由支配的流动性有限，这是集团子公司融资中的常见问题，需在授信中特别关注资金归集安排。</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工程机械结构件领域可比企业包括恒立液压（部分业务）、山推股份（结构件）、以及大量非上市的区域性配套企业。临工重托500余人的规模、6500万元的实缴资本，在工程机械零部件配套企业中属中等规模。因公司自身数据缺失，本报告不进行具体数值对标。</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一人有限责任公司（法人独资），不设股东会，由唯一股东临沂临工机械集团有限公司行使股东职权。公司设执行董事一名（潘仲兴，同时任总经理）、监事一名（姜秀爱），为简化型治理结构。重大事项决策权实际上归属集团层面，公司自主决策空间有限。</w:t>
      </w:r>
    </w:p>
    <w:p>
      <w:pPr>
        <w:spacing w:lineRule="exact" w:line="600" w:before="0" w:after="0"/>
        <w:ind w:firstLine="420"/>
        <w:jc w:val="both"/>
      </w:pPr>
      <w:r>
        <w:rPr>
          <w:rFonts w:ascii="仿宋_GB2312" w:hAnsi="仿宋_GB2312" w:eastAsia="仿宋_GB2312"/>
          <w:b w:val="0"/>
          <w:color w:val="000000"/>
          <w:sz w:val="32"/>
        </w:rPr>
        <w:t>这一结构的特点是：执行效率高、与集团战略协同紧密；但独立性弱，在授信时应穿透至集团层面评估整体风险，而不能仅看单体主体。</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潘仲兴任法定代表人、执行董事兼总经理，关联企业2家，是公司经营的实际负责人。姜秀爱任监事，关联企业8家，推测为集团派驻的监督人员。主要人员仅2名（另有历史主要人员4名），管理层配置精简。公司未公开披露其他高管信息。</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启信宝对公司内部管理的评价为“稳健向好”，企业合规“表现正常”，连续13年按时提交企业年报，未发现经营异常、行政处罚等记录，显示公司基础合规管理规范。作为临工体系企业，公司很可能承接了山东临工的质量管理体系要求（山东临工拥有全国质量奖、欧洲质量奖），在制造过程控制上具备体系保障。但公司自身未公开披露ISO认证等信息。</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公司参保员工约505—511人，在蒙阴县这一县域范围内属重要的用工主体，对地方就业贡献显著。人员规模较为稳定（2025年报社保人数511人、参保人数505人）。公司未公开披露人员学历结构、技术人员占比与薪酬水平。需关注的是，蒙阴县属山区县，在高端技术与管理人才吸引上面临比临沂主城区更大的挑战。</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第一，集团背书优势。作为临沂临工机械集团有限公司100%控股的子公司，公司与国内装载机市占率第一的山东临工为兄弟公司关系，在订单来源、技术标准、管理体系、品牌信誉上均可获得集团赋能，这是独立配套企业不可比拟的优势。</w:t>
      </w:r>
    </w:p>
    <w:p>
      <w:pPr>
        <w:spacing w:lineRule="exact" w:line="600" w:before="0" w:after="0"/>
        <w:ind w:firstLine="420"/>
        <w:jc w:val="both"/>
      </w:pPr>
      <w:r>
        <w:rPr>
          <w:rFonts w:ascii="仿宋_GB2312" w:hAnsi="仿宋_GB2312" w:eastAsia="仿宋_GB2312"/>
          <w:b w:val="0"/>
          <w:color w:val="000000"/>
          <w:sz w:val="32"/>
        </w:rPr>
        <w:t>第二，订单稳定性。体系内配套模式使公司免于激烈的市场竞争与获客成本，产能利用率有保障，这在工程机械行业下行周期中尤为可贵。</w:t>
      </w:r>
    </w:p>
    <w:p>
      <w:pPr>
        <w:spacing w:lineRule="exact" w:line="600" w:before="0" w:after="0"/>
        <w:ind w:firstLine="420"/>
        <w:jc w:val="both"/>
      </w:pPr>
      <w:r>
        <w:rPr>
          <w:rFonts w:ascii="仿宋_GB2312" w:hAnsi="仿宋_GB2312" w:eastAsia="仿宋_GB2312"/>
          <w:b w:val="0"/>
          <w:color w:val="000000"/>
          <w:sz w:val="32"/>
        </w:rPr>
        <w:t>第三，资本充实与合规记录。实缴资本6500万元全额到位，连续13年年报无异常，无被执行人与失信记录，各项风险评价正常或向好，信用基础扎实。</w:t>
      </w:r>
    </w:p>
    <w:p>
      <w:pPr>
        <w:spacing w:lineRule="exact" w:line="600" w:before="0" w:after="0"/>
        <w:ind w:firstLine="420"/>
        <w:jc w:val="both"/>
      </w:pPr>
      <w:r>
        <w:rPr>
          <w:rFonts w:ascii="仿宋_GB2312" w:hAnsi="仿宋_GB2312" w:eastAsia="仿宋_GB2312"/>
          <w:b w:val="0"/>
          <w:color w:val="000000"/>
          <w:sz w:val="32"/>
        </w:rPr>
        <w:t>第四，制造经验积淀。公司前身可追溯至2010年设立的山东华伟路面机械有限公司，在工程机械制造领域已积累十五年经验，并历经华伟集团、恒伟重工到临工重托的多轮整合，制造能力经过市场检验。</w:t>
      </w:r>
    </w:p>
    <w:p>
      <w:pPr>
        <w:spacing w:lineRule="exact" w:line="600" w:before="0" w:after="0"/>
        <w:ind w:firstLine="420"/>
        <w:jc w:val="both"/>
      </w:pPr>
      <w:r>
        <w:rPr>
          <w:rFonts w:ascii="仿宋_GB2312" w:hAnsi="仿宋_GB2312" w:eastAsia="仿宋_GB2312"/>
          <w:b w:val="0"/>
          <w:color w:val="000000"/>
          <w:sz w:val="32"/>
        </w:rPr>
        <w:t>第五，自营进出口能力。持有进出口企业代码与海关注册编码，具备直接开展国际贸易的资质基础。</w:t>
      </w:r>
    </w:p>
    <w:p>
      <w:pPr>
        <w:spacing w:lineRule="exact" w:line="600" w:before="0" w:after="0"/>
        <w:ind w:firstLine="420"/>
        <w:jc w:val="both"/>
      </w:pPr>
      <w:r>
        <w:rPr>
          <w:rFonts w:ascii="仿宋_GB2312" w:hAnsi="仿宋_GB2312" w:eastAsia="仿宋_GB2312"/>
          <w:b w:val="0"/>
          <w:color w:val="000000"/>
          <w:sz w:val="32"/>
        </w:rPr>
        <w:t>需客观指出的局限：公司未见高新技术企业、专精特新等技术类资质，技术自主性与产品差异化程度可能不足；过度依赖关联交易使其独立市场竞争力未经充分检验；地处蒙阴县，距离集群核心区较远，在物流协同上不及临沂经开区内的配套企业。</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（一）关联依赖风险（首要风险）</w:t>
      </w:r>
    </w:p>
    <w:p>
      <w:pPr>
        <w:spacing w:lineRule="exact" w:line="600" w:before="0" w:after="0"/>
        <w:ind w:firstLine="420"/>
        <w:jc w:val="both"/>
      </w:pPr>
      <w:r>
        <w:rPr>
          <w:rFonts w:ascii="仿宋_GB2312" w:hAnsi="仿宋_GB2312" w:eastAsia="仿宋_GB2312"/>
          <w:b w:val="0"/>
          <w:color w:val="000000"/>
          <w:sz w:val="32"/>
        </w:rPr>
        <w:t>公司为临工机械集团全资子公司，业务高度依赖体系内配套。这带来两重风险：一是客户集中风险，若母体或兄弟公司经营波动、订单减少，公司将直接承压，缺乏缓冲；二是治理与资金风险，集团可能通过转移定价、资金归集、关联担保等方式影响子公司的独立财务状况。</w:t>
      </w:r>
    </w:p>
    <w:p>
      <w:pPr>
        <w:spacing w:lineRule="exact" w:line="600" w:before="0" w:after="0"/>
        <w:ind w:firstLine="420"/>
        <w:jc w:val="both"/>
      </w:pPr>
      <w:r>
        <w:rPr>
          <w:rFonts w:ascii="仿宋_GB2312" w:hAnsi="仿宋_GB2312" w:eastAsia="仿宋_GB2312"/>
          <w:b w:val="0"/>
          <w:color w:val="000000"/>
          <w:sz w:val="32"/>
        </w:rPr>
        <w:t>尤其需要关注的是，其关联方山东临工于2025年8月发生控股股东变更（沃尔沃系股东全部退出，上海鼎迦临咨询管理有限公司持股70%），而临沂临工机械集团在山东临工的持股比例由控股地位相对下降至30%。这一变化可能重塑集团内部的业务与资金关系，进而影响临工重托的订单来源与地位，是需要持续跟踪的重大不确定性。</w:t>
      </w:r>
    </w:p>
    <w:p>
      <w:pPr>
        <w:spacing w:lineRule="exact" w:line="600" w:before="120" w:after="120"/>
        <w:ind w:firstLine="420"/>
        <w:jc w:val="left"/>
      </w:pPr>
      <w:r>
        <w:rPr>
          <w:rFonts w:ascii="楷体_GB2312" w:hAnsi="楷体_GB2312" w:eastAsia="楷体_GB2312"/>
          <w:b w:val="0"/>
          <w:color w:val="000000"/>
          <w:sz w:val="32"/>
        </w:rPr>
        <w:t>（二）行业周期风险</w:t>
      </w:r>
    </w:p>
    <w:p>
      <w:pPr>
        <w:spacing w:lineRule="exact" w:line="600" w:before="0" w:after="0"/>
        <w:ind w:firstLine="420"/>
        <w:jc w:val="both"/>
      </w:pPr>
      <w:r>
        <w:rPr>
          <w:rFonts w:ascii="仿宋_GB2312" w:hAnsi="仿宋_GB2312" w:eastAsia="仿宋_GB2312"/>
          <w:b w:val="0"/>
          <w:color w:val="000000"/>
          <w:sz w:val="32"/>
        </w:rPr>
        <w:t>工程机械行业周期性强，2021年以来国内市场处于下行调整期。作为产业链中游的配套制造企业，公司在周期下行中往往承受“需求下滑+主机厂压价”的双重挤压，且议价能力弱于整机厂，利润空间收窄风险突出。</w:t>
      </w:r>
    </w:p>
    <w:p>
      <w:pPr>
        <w:spacing w:lineRule="exact" w:line="600" w:before="120" w:after="120"/>
        <w:ind w:firstLine="420"/>
        <w:jc w:val="left"/>
      </w:pPr>
      <w:r>
        <w:rPr>
          <w:rFonts w:ascii="楷体_GB2312" w:hAnsi="楷体_GB2312" w:eastAsia="楷体_GB2312"/>
          <w:b w:val="0"/>
          <w:color w:val="000000"/>
          <w:sz w:val="32"/>
        </w:rPr>
        <w:t>（三）经营风险</w:t>
      </w:r>
    </w:p>
    <w:p>
      <w:pPr>
        <w:spacing w:lineRule="exact" w:line="600" w:before="0" w:after="0"/>
        <w:ind w:firstLine="420"/>
        <w:jc w:val="both"/>
      </w:pPr>
      <w:r>
        <w:rPr>
          <w:rFonts w:ascii="仿宋_GB2312" w:hAnsi="仿宋_GB2312" w:eastAsia="仿宋_GB2312"/>
          <w:b w:val="0"/>
          <w:color w:val="000000"/>
          <w:sz w:val="32"/>
        </w:rPr>
        <w:t>一是原材料价格波动风险，钢材占结构件成本比重高，价格波动直接影响毛利，而向主机厂的价格调整通常滞后；二是技术升级风险，工程机械电动化、轻量化趋势对结构件材料与工艺提出新要求，若公司技术跟进不及时，可能被体系内其他供应商替代；三是区位风险，公司位于蒙阴县，与临沂经开区的主机厂存在物流距离，在准时化供货（JIT）要求下处于劣势。</w:t>
      </w:r>
    </w:p>
    <w:p>
      <w:pPr>
        <w:spacing w:lineRule="exact" w:line="600" w:before="120" w:after="120"/>
        <w:ind w:firstLine="420"/>
        <w:jc w:val="left"/>
      </w:pPr>
      <w:r>
        <w:rPr>
          <w:rFonts w:ascii="楷体_GB2312" w:hAnsi="楷体_GB2312" w:eastAsia="楷体_GB2312"/>
          <w:b w:val="0"/>
          <w:color w:val="000000"/>
          <w:sz w:val="32"/>
        </w:rPr>
        <w:t>（四）财务风险</w:t>
      </w:r>
    </w:p>
    <w:p>
      <w:pPr>
        <w:spacing w:lineRule="exact" w:line="600" w:before="0" w:after="0"/>
        <w:ind w:firstLine="420"/>
        <w:jc w:val="both"/>
      </w:pPr>
      <w:r>
        <w:rPr>
          <w:rFonts w:ascii="仿宋_GB2312" w:hAnsi="仿宋_GB2312" w:eastAsia="仿宋_GB2312"/>
          <w:b w:val="0"/>
          <w:color w:val="000000"/>
          <w:sz w:val="32"/>
        </w:rPr>
        <w:t>因财务数据完全不公开，风险无法量化。定性关注点：一是关联方应收账款的真实账龄与回收情况；二是是否存在对集团或关联方的担保；三是是否被纳入集团资金池导致账面资金无法自主支配；四是若从事铸造业务，设备资产专用性强、在极端情况下清偿价值低。</w:t>
      </w:r>
    </w:p>
    <w:p>
      <w:pPr>
        <w:spacing w:lineRule="exact" w:line="600" w:before="120" w:after="120"/>
        <w:ind w:firstLine="420"/>
        <w:jc w:val="left"/>
      </w:pPr>
      <w:r>
        <w:rPr>
          <w:rFonts w:ascii="楷体_GB2312" w:hAnsi="楷体_GB2312" w:eastAsia="楷体_GB2312"/>
          <w:b w:val="0"/>
          <w:color w:val="000000"/>
          <w:sz w:val="32"/>
        </w:rPr>
        <w:t>（五）环保与安全风险</w:t>
      </w:r>
    </w:p>
    <w:p>
      <w:pPr>
        <w:spacing w:lineRule="exact" w:line="600" w:before="0" w:after="0"/>
        <w:ind w:firstLine="420"/>
        <w:jc w:val="both"/>
      </w:pPr>
      <w:r>
        <w:rPr>
          <w:rFonts w:ascii="仿宋_GB2312" w:hAnsi="仿宋_GB2312" w:eastAsia="仿宋_GB2312"/>
          <w:b w:val="0"/>
          <w:color w:val="000000"/>
          <w:sz w:val="32"/>
        </w:rPr>
        <w:t>若公司从事铸造业务，则涉及熔炼、造型、清砂等工序，存在粉尘、烟气、噪声污染与高温熔融金属作业的安全风险，属环保与安全监管重点行业。蒙阴县地处沂蒙山区，生态保护要求较高，环保约束可能更为严格。公开渠道未显示公司有环保处罚记录，这是正面信号。</w:t>
      </w:r>
    </w:p>
    <w:p>
      <w:pPr>
        <w:spacing w:lineRule="exact" w:line="600" w:before="120" w:after="120"/>
        <w:ind w:firstLine="420"/>
        <w:jc w:val="left"/>
      </w:pPr>
      <w:r>
        <w:rPr>
          <w:rFonts w:ascii="楷体_GB2312" w:hAnsi="楷体_GB2312" w:eastAsia="楷体_GB2312"/>
          <w:b w:val="0"/>
          <w:color w:val="000000"/>
          <w:sz w:val="32"/>
        </w:rPr>
        <w:t>（六）信息透明度风险</w:t>
      </w:r>
    </w:p>
    <w:p>
      <w:pPr>
        <w:spacing w:lineRule="exact" w:line="600" w:before="0" w:after="0"/>
        <w:ind w:firstLine="420"/>
        <w:jc w:val="both"/>
      </w:pPr>
      <w:r>
        <w:rPr>
          <w:rFonts w:ascii="仿宋_GB2312" w:hAnsi="仿宋_GB2312" w:eastAsia="仿宋_GB2312"/>
          <w:b w:val="0"/>
          <w:color w:val="000000"/>
          <w:sz w:val="32"/>
        </w:rPr>
        <w:t>公司在公开渠道的信息披露极为有限，除工商登记信息外，几乎没有关于产品、产能、客户、技术、经营业绩的公开报道，官网内容也较为简略。这种低透明度本身构成尽职调查障碍，增加了外部机构的信息获取成本与判断难度。</w:t>
      </w:r>
    </w:p>
    <w:p>
      <w:pPr>
        <w:spacing w:lineRule="exact" w:line="600" w:before="120" w:after="120"/>
        <w:ind w:firstLine="420"/>
        <w:jc w:val="left"/>
      </w:pPr>
      <w:r>
        <w:rPr>
          <w:rFonts w:ascii="黑体" w:hAnsi="黑体" w:eastAsia="黑体"/>
          <w:b w:val="0"/>
          <w:color w:val="000000"/>
          <w:sz w:val="32"/>
        </w:rPr>
        <w:t>七、融资需求与山东投资协同建议</w:t>
      </w:r>
    </w:p>
    <w:p>
      <w:pPr>
        <w:spacing w:lineRule="exact" w:line="600" w:before="120" w:after="120"/>
        <w:ind w:firstLine="420"/>
        <w:jc w:val="left"/>
      </w:pPr>
      <w:r>
        <w:rPr>
          <w:rFonts w:ascii="楷体_GB2312" w:hAnsi="楷体_GB2312" w:eastAsia="楷体_GB2312"/>
          <w:b w:val="0"/>
          <w:color w:val="000000"/>
          <w:sz w:val="32"/>
        </w:rPr>
        <w:t>（一）总体判断</w:t>
      </w:r>
    </w:p>
    <w:p>
      <w:pPr>
        <w:spacing w:lineRule="exact" w:line="600" w:before="0" w:after="0"/>
        <w:ind w:firstLine="420"/>
        <w:jc w:val="both"/>
      </w:pPr>
      <w:r>
        <w:rPr>
          <w:rFonts w:ascii="仿宋_GB2312" w:hAnsi="仿宋_GB2312" w:eastAsia="仿宋_GB2312"/>
          <w:b w:val="0"/>
          <w:color w:val="000000"/>
          <w:sz w:val="32"/>
        </w:rPr>
        <w:t>公司信用基础良好（实缴资本充足、无司法风险记录、连续年报合规），且有强有力的集团背景，但业务高度依赖关联交易、信息透明度低、独立经营能力未经充分验证。建议定位为“集团体系客户、穿透评估、中等额度、优先自偿性业务”。</w:t>
      </w:r>
    </w:p>
    <w:p>
      <w:pPr>
        <w:spacing w:lineRule="exact" w:line="600" w:before="120" w:after="120"/>
        <w:ind w:firstLine="420"/>
        <w:jc w:val="left"/>
      </w:pPr>
      <w:r>
        <w:rPr>
          <w:rFonts w:ascii="楷体_GB2312" w:hAnsi="楷体_GB2312" w:eastAsia="楷体_GB2312"/>
          <w:b w:val="0"/>
          <w:color w:val="000000"/>
          <w:sz w:val="32"/>
        </w:rPr>
        <w:t>（二）保理业务</w:t>
      </w:r>
    </w:p>
    <w:p>
      <w:pPr>
        <w:spacing w:lineRule="exact" w:line="600" w:before="0" w:after="0"/>
        <w:ind w:firstLine="420"/>
        <w:jc w:val="both"/>
      </w:pPr>
      <w:r>
        <w:rPr>
          <w:rFonts w:ascii="仿宋_GB2312" w:hAnsi="仿宋_GB2312" w:eastAsia="仿宋_GB2312"/>
          <w:b w:val="0"/>
          <w:color w:val="000000"/>
          <w:sz w:val="32"/>
        </w:rPr>
        <w:t>公司对关联方（尤其是山东临工）的应收账款是最优质的保理基础资产——买方为行业龙头、付款能力强、贸易背景真实。</w:t>
      </w:r>
    </w:p>
    <w:p>
      <w:pPr>
        <w:spacing w:lineRule="exact" w:line="600" w:before="0" w:after="0"/>
        <w:ind w:firstLine="420"/>
        <w:jc w:val="both"/>
      </w:pPr>
      <w:r>
        <w:rPr>
          <w:rFonts w:ascii="仿宋_GB2312" w:hAnsi="仿宋_GB2312" w:eastAsia="仿宋_GB2312"/>
          <w:b w:val="0"/>
          <w:color w:val="000000"/>
          <w:sz w:val="32"/>
        </w:rPr>
        <w:t>建议开展以山东临工为付款方的应收账款保理，采用买方确权模式，融资比例可达发票金额的80%。此类业务的风险实质是山东临工的信用风险，而非临工重托自身信用风险，风险相对可控。同时，此业务可与前述对山东临工的反向保理平台打通，实现"一个核心企业、多个上游供应商"的批量开发。</w:t>
      </w:r>
    </w:p>
    <w:p>
      <w:pPr>
        <w:spacing w:lineRule="exact" w:line="600" w:before="0" w:after="0"/>
        <w:ind w:firstLine="420"/>
        <w:jc w:val="both"/>
      </w:pPr>
      <w:r>
        <w:rPr>
          <w:rFonts w:ascii="仿宋_GB2312" w:hAnsi="仿宋_GB2312" w:eastAsia="仿宋_GB2312"/>
          <w:b w:val="0"/>
          <w:color w:val="000000"/>
          <w:sz w:val="32"/>
        </w:rPr>
        <w:t>对其出口应收账款，因公司具备自营进出口资质，可提供出口保理服务，但需配套出口信用保险。</w:t>
      </w:r>
    </w:p>
    <w:p>
      <w:pPr>
        <w:spacing w:lineRule="exact" w:line="600" w:before="120" w:after="120"/>
        <w:ind w:firstLine="420"/>
        <w:jc w:val="left"/>
      </w:pPr>
      <w:r>
        <w:rPr>
          <w:rFonts w:ascii="楷体_GB2312" w:hAnsi="楷体_GB2312" w:eastAsia="楷体_GB2312"/>
          <w:b w:val="0"/>
          <w:color w:val="000000"/>
          <w:sz w:val="32"/>
        </w:rPr>
        <w:t>（三）供应链金融</w:t>
      </w:r>
    </w:p>
    <w:p>
      <w:pPr>
        <w:spacing w:lineRule="exact" w:line="600" w:before="0" w:after="0"/>
        <w:ind w:firstLine="420"/>
        <w:jc w:val="both"/>
      </w:pPr>
      <w:r>
        <w:rPr>
          <w:rFonts w:ascii="仿宋_GB2312" w:hAnsi="仿宋_GB2312" w:eastAsia="仿宋_GB2312"/>
          <w:b w:val="0"/>
          <w:color w:val="000000"/>
          <w:sz w:val="32"/>
        </w:rPr>
        <w:t>在采购端，公司钢材、铸件毛坯采购量大，可提供原材料采购融资，帮助其在钢价低位时锁价采购，期限3—6个月，以采购标的物动产质押加母公司（临工机械集团）保证担保为增信。</w:t>
      </w:r>
    </w:p>
    <w:p>
      <w:pPr>
        <w:spacing w:lineRule="exact" w:line="600" w:before="0" w:after="0"/>
        <w:ind w:firstLine="420"/>
        <w:jc w:val="both"/>
      </w:pPr>
      <w:r>
        <w:rPr>
          <w:rFonts w:ascii="仿宋_GB2312" w:hAnsi="仿宋_GB2312" w:eastAsia="仿宋_GB2312"/>
          <w:b w:val="0"/>
          <w:color w:val="000000"/>
          <w:sz w:val="32"/>
        </w:rPr>
        <w:t>在销售端，若公司“临工重托”品牌整机有独立经销商体系，可为其经销商提供订单融资，以公司回购承诺为增信。需先核实其自主品牌销售的实际规模。</w:t>
      </w:r>
    </w:p>
    <w:p>
      <w:pPr>
        <w:spacing w:lineRule="exact" w:line="600" w:before="120" w:after="120"/>
        <w:ind w:firstLine="420"/>
        <w:jc w:val="left"/>
      </w:pPr>
      <w:r>
        <w:rPr>
          <w:rFonts w:ascii="楷体_GB2312" w:hAnsi="楷体_GB2312" w:eastAsia="楷体_GB2312"/>
          <w:b w:val="0"/>
          <w:color w:val="000000"/>
          <w:sz w:val="32"/>
        </w:rPr>
        <w:t>（四）融资租赁</w:t>
      </w:r>
    </w:p>
    <w:p>
      <w:pPr>
        <w:spacing w:lineRule="exact" w:line="600" w:before="0" w:after="0"/>
        <w:ind w:firstLine="420"/>
        <w:jc w:val="both"/>
      </w:pPr>
      <w:r>
        <w:rPr>
          <w:rFonts w:ascii="仿宋_GB2312" w:hAnsi="仿宋_GB2312" w:eastAsia="仿宋_GB2312"/>
          <w:b w:val="0"/>
          <w:color w:val="000000"/>
          <w:sz w:val="32"/>
        </w:rPr>
        <w:t>公司拥有约500名员工规模的制造基地，存量生产设备（数控机床、焊接设备、若有铸造业务则含熔炼与造型设备）具备一定规模。</w:t>
      </w:r>
    </w:p>
    <w:p>
      <w:pPr>
        <w:spacing w:lineRule="exact" w:line="600" w:before="0" w:after="0"/>
        <w:ind w:firstLine="420"/>
        <w:jc w:val="both"/>
      </w:pPr>
      <w:r>
        <w:rPr>
          <w:rFonts w:ascii="仿宋_GB2312" w:hAnsi="仿宋_GB2312" w:eastAsia="仿宋_GB2312"/>
          <w:b w:val="0"/>
          <w:color w:val="000000"/>
          <w:sz w:val="32"/>
        </w:rPr>
        <w:t>建议方案：一是售后回租，选取通用性较强、成新率较高的数控机加设备与焊接设备作为标的，盘活存量资产、补充流动资金，租期3年，要求母公司提供连带责任保证；二是直租，若公司有智能化改造、自动化焊接线或环保设备升级需求，可通过直租方式介入，匹配其设备更新周期。需注意：铸造类专用设备残值低、处置难，应从租赁物范围中审慎排除或大幅折价。</w:t>
      </w:r>
    </w:p>
    <w:p>
      <w:pPr>
        <w:spacing w:lineRule="exact" w:line="600" w:before="120" w:after="120"/>
        <w:ind w:firstLine="420"/>
        <w:jc w:val="left"/>
      </w:pPr>
      <w:r>
        <w:rPr>
          <w:rFonts w:ascii="楷体_GB2312" w:hAnsi="楷体_GB2312" w:eastAsia="楷体_GB2312"/>
          <w:b w:val="0"/>
          <w:color w:val="000000"/>
          <w:sz w:val="32"/>
        </w:rPr>
        <w:t>（五）小额贷款</w:t>
      </w:r>
    </w:p>
    <w:p>
      <w:pPr>
        <w:spacing w:lineRule="exact" w:line="600" w:before="0" w:after="0"/>
        <w:ind w:firstLine="420"/>
        <w:jc w:val="both"/>
      </w:pPr>
      <w:r>
        <w:rPr>
          <w:rFonts w:ascii="仿宋_GB2312" w:hAnsi="仿宋_GB2312" w:eastAsia="仿宋_GB2312"/>
          <w:b w:val="0"/>
          <w:color w:val="000000"/>
          <w:sz w:val="32"/>
        </w:rPr>
        <w:t>公司体量（500人、6500万元实缴资本、中型企业）已超出典型小贷服务范围，小贷产品适配性有限。可考虑用于短期应急周转，单笔300万—500万元、期限3—6个月，以其纳税记录、用电数据、关联方回款记录为增信要素。</w:t>
      </w:r>
    </w:p>
    <w:p>
      <w:pPr>
        <w:spacing w:lineRule="exact" w:line="600" w:before="120" w:after="120"/>
        <w:ind w:firstLine="420"/>
        <w:jc w:val="left"/>
      </w:pPr>
      <w:r>
        <w:rPr>
          <w:rFonts w:ascii="楷体_GB2312" w:hAnsi="楷体_GB2312" w:eastAsia="楷体_GB2312"/>
          <w:b w:val="0"/>
          <w:color w:val="000000"/>
          <w:sz w:val="32"/>
        </w:rPr>
        <w:t>（六）尽职调查要点</w:t>
      </w:r>
    </w:p>
    <w:p>
      <w:pPr>
        <w:spacing w:lineRule="exact" w:line="600" w:before="0" w:after="0"/>
        <w:ind w:firstLine="420"/>
        <w:jc w:val="both"/>
      </w:pPr>
      <w:r>
        <w:rPr>
          <w:rFonts w:ascii="仿宋_GB2312" w:hAnsi="仿宋_GB2312" w:eastAsia="仿宋_GB2312"/>
          <w:b w:val="0"/>
          <w:color w:val="000000"/>
          <w:sz w:val="32"/>
        </w:rPr>
        <w:t>一是核实关联交易占营业收入的比例，判断独立经营能力；二是核实是否被纳入临工机械集团资金池，账面资金能否自主支配；三是核实公司对外担保情况，特别是为集团或兄弟公司提供的担保；四是实地核实主营产品、产能与厂房设备权属；五是核实是否从事铸造业务及相应的环保手续；六是评估2025年山东临工股权变更对集团内部业务关系的影响；七是获取近三年经审计财务报表（含关联交易附注）。</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（一）综合评价</w:t>
      </w:r>
    </w:p>
    <w:p>
      <w:pPr>
        <w:spacing w:lineRule="exact" w:line="600" w:before="0" w:after="0"/>
        <w:ind w:firstLine="420"/>
        <w:jc w:val="both"/>
      </w:pPr>
      <w:r>
        <w:rPr>
          <w:rFonts w:ascii="仿宋_GB2312" w:hAnsi="仿宋_GB2312" w:eastAsia="仿宋_GB2312"/>
          <w:b w:val="0"/>
          <w:color w:val="000000"/>
          <w:sz w:val="32"/>
        </w:rPr>
        <w:t>临沂临工重托机械有限公司是临工机械集团体系内的中型制造企业，注册资本6500万元且全额实缴，员工约500人，经营历史可追溯至2010年，2019年并入临工体系。其正面因素明显：集团背书强、订单来源稳定、实缴资本充实、各项合规与法律风险评价正常或向好、连续13年年报无异常、具备自营进出口资质。</w:t>
      </w:r>
    </w:p>
    <w:p>
      <w:pPr>
        <w:spacing w:lineRule="exact" w:line="600" w:before="0" w:after="0"/>
        <w:ind w:firstLine="420"/>
        <w:jc w:val="both"/>
      </w:pPr>
      <w:r>
        <w:rPr>
          <w:rFonts w:ascii="仿宋_GB2312" w:hAnsi="仿宋_GB2312" w:eastAsia="仿宋_GB2312"/>
          <w:b w:val="0"/>
          <w:color w:val="000000"/>
          <w:sz w:val="32"/>
        </w:rPr>
        <w:t>其局限同样清晰：业务高度依赖关联交易、独立市场竞争力未经验证；公开信息极度稀缺、透明度低；未见高新技术企业、专精特新等技术类资质；注册地在蒙阴县，与集群核心区存在空间距离；财务数据完全不公开。综合评价为“背景可靠、合规稳健、但独立性弱、透明度低”的集团配套型制造企业。</w:t>
      </w:r>
    </w:p>
    <w:p>
      <w:pPr>
        <w:spacing w:lineRule="exact" w:line="600" w:before="120" w:after="120"/>
        <w:ind w:firstLine="420"/>
        <w:jc w:val="left"/>
      </w:pPr>
      <w:r>
        <w:rPr>
          <w:rFonts w:ascii="楷体_GB2312" w:hAnsi="楷体_GB2312" w:eastAsia="楷体_GB2312"/>
          <w:b w:val="0"/>
          <w:color w:val="000000"/>
          <w:sz w:val="32"/>
        </w:rPr>
        <w:t>（二）发展展望</w:t>
      </w:r>
    </w:p>
    <w:p>
      <w:pPr>
        <w:spacing w:lineRule="exact" w:line="600" w:before="0" w:after="0"/>
        <w:ind w:firstLine="420"/>
        <w:jc w:val="both"/>
      </w:pPr>
      <w:r>
        <w:rPr>
          <w:rFonts w:ascii="仿宋_GB2312" w:hAnsi="仿宋_GB2312" w:eastAsia="仿宋_GB2312"/>
          <w:b w:val="0"/>
          <w:color w:val="000000"/>
          <w:sz w:val="32"/>
        </w:rPr>
        <w:t>据行业趋势与集团布局判断，公司未来的发展将高度取决于临工机械集团的战略安排。可能的方向有三：一是继续深化体系内配套，随山东临工产销规模与出口增长而同步扩张；二是提升技术含量，向轻量化结构件、电动化专用部件方向升级，契合工程机械电动化趋势；三是拓展体系外客户，将“临工重托”打造为独立品牌，降低关联依赖。需要指出，2025年山东临工控股权变更后，临工机械集团在山东临工的持股降至30%，集团内部业务关系可能重构，这对临工重托而言既是风险也可能是推动其独立化发展的契机。</w:t>
      </w:r>
    </w:p>
    <w:p>
      <w:pPr>
        <w:spacing w:lineRule="exact" w:line="600" w:before="120" w:after="120"/>
        <w:ind w:firstLine="420"/>
        <w:jc w:val="left"/>
      </w:pPr>
      <w:r>
        <w:rPr>
          <w:rFonts w:ascii="楷体_GB2312" w:hAnsi="楷体_GB2312" w:eastAsia="楷体_GB2312"/>
          <w:b w:val="0"/>
          <w:color w:val="000000"/>
          <w:sz w:val="32"/>
        </w:rPr>
        <w:t>（三）主要挑战</w:t>
      </w:r>
    </w:p>
    <w:p>
      <w:pPr>
        <w:spacing w:lineRule="exact" w:line="600" w:before="0" w:after="0"/>
        <w:ind w:firstLine="420"/>
        <w:jc w:val="both"/>
      </w:pPr>
      <w:r>
        <w:rPr>
          <w:rFonts w:ascii="仿宋_GB2312" w:hAnsi="仿宋_GB2312" w:eastAsia="仿宋_GB2312"/>
          <w:b w:val="0"/>
          <w:color w:val="000000"/>
          <w:sz w:val="32"/>
        </w:rPr>
        <w:t>一是关联依赖过高，抗风险能力弱；二是行业下行周期中配套企业面临的价格挤压；三是技术资质缺失，在电动化、轻量化转型中可能掉队；四是蒙阴县区位与人才吸引力不足；五是信息透明度低影响外部融资可得性；六是集团股权结构变化带来的不确定性。</w:t>
      </w:r>
    </w:p>
    <w:p>
      <w:pPr>
        <w:spacing w:lineRule="exact" w:line="600" w:before="120" w:after="120"/>
        <w:ind w:firstLine="420"/>
        <w:jc w:val="left"/>
      </w:pPr>
      <w:r>
        <w:rPr>
          <w:rFonts w:ascii="楷体_GB2312" w:hAnsi="楷体_GB2312" w:eastAsia="楷体_GB2312"/>
          <w:b w:val="0"/>
          <w:color w:val="000000"/>
          <w:sz w:val="32"/>
        </w:rPr>
        <w:t>（四）结论与建议</w:t>
      </w:r>
    </w:p>
    <w:p>
      <w:pPr>
        <w:spacing w:lineRule="exact" w:line="600" w:before="0" w:after="0"/>
        <w:ind w:firstLine="420"/>
        <w:jc w:val="both"/>
      </w:pPr>
      <w:r>
        <w:rPr>
          <w:rFonts w:ascii="仿宋_GB2312" w:hAnsi="仿宋_GB2312" w:eastAsia="仿宋_GB2312"/>
          <w:b w:val="0"/>
          <w:color w:val="000000"/>
          <w:sz w:val="32"/>
        </w:rPr>
        <w:t>结论：该企业信用基础扎实、风险记录干净，但独立经营能力与信息透明度不足，适合作为“依托核心企业信用”的供应链金融客户，不宜作为独立主体给予大额信用授信。</w:t>
      </w:r>
    </w:p>
    <w:p>
      <w:pPr>
        <w:spacing w:lineRule="exact" w:line="600" w:before="0" w:after="0"/>
        <w:ind w:firstLine="420"/>
        <w:jc w:val="both"/>
      </w:pPr>
      <w:r>
        <w:rPr>
          <w:rFonts w:ascii="仿宋_GB2312" w:hAnsi="仿宋_GB2312" w:eastAsia="仿宋_GB2312"/>
          <w:b w:val="0"/>
          <w:color w:val="000000"/>
          <w:sz w:val="32"/>
        </w:rPr>
        <w:t>建议：一是优先开展以山东临工为付款方的应收账款保理，将风险锚定在核心企业信用上，这是风险收益比最优的切入方式；二是任何直接授信均应要求临沂临工机械集团有限公司提供连带责任保证担保；三是通过实地尽调突破信息不透明的障碍，重点核实关联交易占比与资金归集安排；四是将临工集团整体经营状况与山东临工股权整合进展作为该客户风险监测的先行指标；五是可探索设备售后回租盘活存量资产，但需审慎设定铸造类专用设备的租赁物范围。</w:t>
      </w:r>
    </w:p>
    <w:p>
      <w:pPr>
        <w:spacing w:lineRule="exact" w:line="600" w:before="120" w:after="120"/>
        <w:ind w:firstLine="420"/>
        <w:jc w:val="left"/>
      </w:pPr>
      <w:r>
        <w:rPr>
          <w:rFonts w:ascii="黑体" w:hAnsi="黑体" w:eastAsia="黑体"/>
          <w:b w:val="0"/>
          <w:color w:val="000000"/>
          <w:sz w:val="32"/>
        </w:rPr>
        <w:t>九、数据来源说明</w:t>
      </w:r>
    </w:p>
    <w:p>
      <w:pPr>
        <w:spacing w:lineRule="exact" w:line="600" w:before="0" w:after="0"/>
        <w:jc w:val="left"/>
      </w:pPr>
      <w:r>
        <w:rPr>
          <w:rFonts w:ascii="仿宋_GB2312" w:hAnsi="仿宋_GB2312" w:eastAsia="仿宋_GB2312"/>
          <w:b w:val="0"/>
          <w:color w:val="000000"/>
          <w:sz w:val="28"/>
        </w:rPr>
        <w:t>1. 天眼查：临沂临工重托机械有限公司企业基础信息（统一社会信用代码91371328565248580R）。</w:t>
      </w:r>
    </w:p>
    <w:p>
      <w:pPr>
        <w:spacing w:lineRule="exact" w:line="600" w:before="0" w:after="0"/>
        <w:jc w:val="left"/>
      </w:pPr>
      <w:r>
        <w:rPr>
          <w:rFonts w:ascii="仿宋_GB2312" w:hAnsi="仿宋_GB2312" w:eastAsia="仿宋_GB2312"/>
          <w:b w:val="0"/>
          <w:color w:val="000000"/>
          <w:sz w:val="28"/>
        </w:rPr>
        <w:t>2. 启信宝：临沂临工重托机械有限公司工商信息、曾用名记录、风险评价、员工数量。</w:t>
      </w:r>
    </w:p>
    <w:p>
      <w:pPr>
        <w:spacing w:lineRule="exact" w:line="600" w:before="0" w:after="0"/>
        <w:jc w:val="left"/>
      </w:pPr>
      <w:r>
        <w:rPr>
          <w:rFonts w:ascii="仿宋_GB2312" w:hAnsi="仿宋_GB2312" w:eastAsia="仿宋_GB2312"/>
          <w:b w:val="0"/>
          <w:color w:val="000000"/>
          <w:sz w:val="28"/>
        </w:rPr>
        <w:t>3. 水滴信用：临沂临工重托机械有限公司股东信息、主要人员、变更记录、企业年报、工商自主公示出资信息。</w:t>
      </w:r>
    </w:p>
    <w:p>
      <w:pPr>
        <w:spacing w:lineRule="exact" w:line="600" w:before="0" w:after="0"/>
        <w:jc w:val="left"/>
      </w:pPr>
      <w:r>
        <w:rPr>
          <w:rFonts w:ascii="仿宋_GB2312" w:hAnsi="仿宋_GB2312" w:eastAsia="仿宋_GB2312"/>
          <w:b w:val="0"/>
          <w:color w:val="000000"/>
          <w:sz w:val="28"/>
        </w:rPr>
        <w:t>4. 公司官网（www.sdlgwl.com）。</w:t>
      </w:r>
    </w:p>
    <w:p>
      <w:pPr>
        <w:spacing w:lineRule="exact" w:line="600" w:before="0" w:after="0"/>
        <w:jc w:val="left"/>
      </w:pPr>
      <w:r>
        <w:rPr>
          <w:rFonts w:ascii="仿宋_GB2312" w:hAnsi="仿宋_GB2312" w:eastAsia="仿宋_GB2312"/>
          <w:b w:val="0"/>
          <w:color w:val="000000"/>
          <w:sz w:val="28"/>
        </w:rPr>
        <w:t>5. 关联方股权关系数据引自天眼查、企查查关于山东临工工程机械有限公司与临沂临工机械集团有限公司的股权穿透信息。</w:t>
      </w:r>
    </w:p>
    <w:p>
      <w:pPr>
        <w:spacing w:lineRule="exact" w:line="600" w:before="0" w:after="0"/>
        <w:jc w:val="left"/>
      </w:pPr>
      <w:r>
        <w:rPr>
          <w:rFonts w:ascii="仿宋_GB2312" w:hAnsi="仿宋_GB2312" w:eastAsia="仿宋_GB2312"/>
          <w:b w:val="0"/>
          <w:color w:val="000000"/>
          <w:sz w:val="28"/>
        </w:rPr>
        <w:t>6. 本报告未使用任何未经公开披露的财务数据；公司财务报表未公开披露，已在正文中如实标注。</w:t>
      </w:r>
    </w:p>
    <w:p>
      <w:pPr>
        <w:spacing w:lineRule="exact" w:line="600" w:before="0" w:after="0"/>
        <w:jc w:val="left"/>
      </w:pPr>
      <w:r>
        <w:rPr>
          <w:rFonts w:ascii="仿宋_GB2312" w:hAnsi="仿宋_GB2312" w:eastAsia="仿宋_GB2312"/>
          <w:b w:val="0"/>
          <w:color w:val="000000"/>
          <w:sz w:val="28"/>
        </w:rPr>
        <w:t>7. 关于公司注册地为蒙阴县经济开发区、与集群核心承载区临沂经济技术开发区存在差异的情况，已在正文中如实说明。</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