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山东临沂经开区(工程机械)特色产业集群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山东临工工程机械有限公司企业分析报告</w:t>
      </w:r>
    </w:p>
    <w:p>
      <w:pPr>
        <w:spacing w:lineRule="exact" w:line="600" w:before="0" w:after="0"/>
        <w:jc w:val="left"/>
      </w:pPr>
      <w:r>
        <w:rPr>
          <w:rFonts w:ascii="仿宋_GB2312" w:hAnsi="仿宋_GB2312" w:eastAsia="仿宋_GB2312"/>
          <w:b w:val="0"/>
          <w:color w:val="000000"/>
          <w:sz w:val="28"/>
        </w:rPr>
        <w:t>（本报告依据公司官网sdlg.cn、天眼查/企查查/爱企查/水滴信用公开工商登记与变更记录、e-works《山东临工的全球化远征》、新浪财经《闪电评论》、临沂市人民政府门户网站等公开渠道整理，统计时点截至最新公开披露信息。该公司为非上市有限责任公司，未披露完整财务报表，凡涉及财务处均如实标注口径与来源，未作虚构。）</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临沂市是我国重要的工程机械制造基地之一，工程机械被山东省列为19条标志性产业链之一重点培育。集群核心承载区为临沂经济技术开发区（现已整体纳入临沂沂河新区管理），以山东临工工程机械有限公司为龙头链主，周边聚集300余家产业链上下游企业，形成从整机制造到液压件、变速箱、驱动桥、驾驶室、结构件、平衡铁等关键零部件的完整配套体系。据新浪财经《闪电评论》援引官方口径，依托链主带动与本地配套，山东临工新产品开发从设计图到样机仅需4至5个月，产业链协同效率显著。</w:t>
      </w:r>
    </w:p>
    <w:p>
      <w:pPr>
        <w:spacing w:lineRule="exact" w:line="600" w:before="0" w:after="0"/>
        <w:ind w:firstLine="420"/>
        <w:jc w:val="both"/>
      </w:pPr>
      <w:r>
        <w:rPr>
          <w:rFonts w:ascii="仿宋_GB2312" w:hAnsi="仿宋_GB2312" w:eastAsia="仿宋_GB2312"/>
          <w:b w:val="0"/>
          <w:color w:val="000000"/>
          <w:sz w:val="32"/>
        </w:rPr>
        <w:t>外贸方面，沂河新区2024年完成进出口377.5亿元，位居临沂全市第一，其中实体贸易企业实现42亿元、同比增长8.3%，新业态贸易209亿元、同比增长30%。临沂市在液压领域建有国家高端液压元件产业集群集聚区，为工程机械核心零部件的国产化替代提供了产业土壤。本报告所分析的三家企业分别处于整机制造、整机与部件配套、液压核心部件三个链条位置，构成集群的典型剖面。</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山东临工工程机械有限公司（英文名Shandong Lingong Construction Machinery Co., Ltd.，品牌简称SDLG，以下简称“山东临工”或“公司”）现行工商登记成立日期为2003年12月25日，统一社会信用代码91371300757484684H，注册号370000400003573，登记机关为临沂市市场监督管理局沂河新区分局，企业登记状态为存续，营业期限至2056年12月30日。公司注册地址为山东省临沂市经济开发区临工路126号，正处于本集群核心承载区。</w:t>
      </w:r>
    </w:p>
    <w:p>
      <w:pPr>
        <w:spacing w:lineRule="exact" w:line="600" w:before="0" w:after="0"/>
        <w:ind w:firstLine="420"/>
        <w:jc w:val="both"/>
      </w:pPr>
      <w:r>
        <w:rPr>
          <w:rFonts w:ascii="仿宋_GB2312" w:hAnsi="仿宋_GB2312" w:eastAsia="仿宋_GB2312"/>
          <w:b w:val="0"/>
          <w:color w:val="000000"/>
          <w:sz w:val="32"/>
        </w:rPr>
        <w:t>公司注册资本153593万元人民币，实缴资本153593万元（2025年报口径），实缴率100%，资本实力雄厚。企业类型为其他有限责任公司，增值税一般纳税人，2025年纳税信用等级为A级。法定代表人、董事长为王志中，总经理、董事为文德刚，迟峰任董事，张罡任财务负责人。参保人数3518人（2025年报口径），人员规模属3000—3999人区间。</w:t>
      </w:r>
    </w:p>
    <w:p>
      <w:pPr>
        <w:spacing w:lineRule="exact" w:line="600" w:before="0" w:after="0"/>
        <w:ind w:firstLine="420"/>
        <w:jc w:val="both"/>
      </w:pPr>
      <w:r>
        <w:rPr>
          <w:rFonts w:ascii="仿宋_GB2312" w:hAnsi="仿宋_GB2312" w:eastAsia="仿宋_GB2312"/>
          <w:b w:val="0"/>
          <w:color w:val="000000"/>
          <w:sz w:val="32"/>
        </w:rPr>
        <w:t>需要特别说明的是公司股权结构的重大变更。根据市场监督管理部门2025年8月29日登记的投资人变更记录，变更前公司股东为：临沂临工机械集团有限公司（认缴出资46077.9万元）、沃尔沃（中国）投资有限公司（认缴出资105471.6385万元）、Volvo Construction Equipment AB（认缴出资2043.4615万元）；变更后，两家沃尔沃系股东整体退出，由上海鼎迦临咨询管理有限公司新进持股，认缴出资107515.1万元、持股70%，临沂临工机械集团有限公司持股30%。这意味着自2025年8月起，山东临工已由“沃尔沃控股的中外合资企业”转变为内资控股企业，这是公司发展史上最重大的股权与治理变化，对其技术来源、品牌授权、海外渠道、供应链体系均将产生深远影响，是本报告风险分析与展望的核心关注点。</w:t>
      </w:r>
    </w:p>
    <w:p>
      <w:pPr>
        <w:spacing w:lineRule="exact" w:line="600" w:before="0" w:after="0"/>
        <w:ind w:firstLine="420"/>
        <w:jc w:val="both"/>
      </w:pPr>
      <w:r>
        <w:rPr>
          <w:rFonts w:ascii="仿宋_GB2312" w:hAnsi="仿宋_GB2312" w:eastAsia="仿宋_GB2312"/>
          <w:b w:val="0"/>
          <w:color w:val="000000"/>
          <w:sz w:val="32"/>
        </w:rPr>
        <w:t>股权穿透方面，上海鼎迦临咨询管理有限公司由上海鼎工私募投资基金合伙企业（有限合伙）持股99.9958%、深圳市力鼎基金管理有限责任公司持股0.0042%，呈现私募基金主导的财务投资人特征。临沂临工机械集团有限公司的股东结构为：王志中持股34.6067%、临远肆号（临沂）企业管理合伙企业（有限合伙）持股26.3563%、临远壹号持股20.9631%、临远贰号持股9.8555%、文德刚持股5.1364%、临远叁号持股3.0819%，“临远”系列合伙企业为典型的员工与管理层持股平台。综合判断，公司实际控制权由以王志中为核心的管理层团队与私募基金共同掌握，管理层持股是其治理结构的鲜明特征。</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内部按产品平台与职能条线设置组织体系，设有装载机、挖掘机、道路机械三大产品事业部，以及关键零部件业务单元（变速箱、驱动桥、驾驶室、主控阀等），即公司总结的“3+1”产品格局。职能条线设有信息技术研究院、国际营销公司、战略规划本部、财务、人力资源等部门。公开报道中出现的关键岗位包括：信息技术研究院院长王鹏、国际营销公司副总经理张帅、战略规划本部部长冯超。</w:t>
      </w:r>
    </w:p>
    <w:p>
      <w:pPr>
        <w:spacing w:lineRule="exact" w:line="600" w:before="0" w:after="0"/>
        <w:ind w:firstLine="420"/>
        <w:jc w:val="both"/>
      </w:pPr>
      <w:r>
        <w:rPr>
          <w:rFonts w:ascii="仿宋_GB2312" w:hAnsi="仿宋_GB2312" w:eastAsia="仿宋_GB2312"/>
          <w:b w:val="0"/>
          <w:color w:val="000000"/>
          <w:sz w:val="32"/>
        </w:rPr>
        <w:t>对外投资方面，公司全资持有山东临工投资管理有限公司（成立于2022年4月13日，注册资本5000万元，法定代表人张罡）与临沂市临工国际贸易有限公司（成立于2025年5月19日，注册资本100万元，法定代表人贾继军），分别承担投资管理与国际贸易职能。此外，公司设有分支机构3家，控制企业多家，并与临沂临工新能源科技有限公司等关联主体存在业务往来。</w:t>
      </w:r>
    </w:p>
    <w:p>
      <w:pPr>
        <w:spacing w:lineRule="exact" w:line="600" w:before="0" w:after="0"/>
        <w:ind w:firstLine="420"/>
        <w:jc w:val="both"/>
      </w:pPr>
      <w:r>
        <w:rPr>
          <w:rFonts w:ascii="仿宋_GB2312" w:hAnsi="仿宋_GB2312" w:eastAsia="仿宋_GB2312"/>
          <w:b w:val="0"/>
          <w:color w:val="000000"/>
          <w:sz w:val="32"/>
        </w:rPr>
        <w:t>海外方面，公司建有2座海外工厂、7家海外子公司，并已在印尼、迪拜设立海外子公司，在巴西设立巴西公司并投入运营，在荷兰、印尼、澳大利亚等19个国家和地区建立运营中心，在俄罗斯、巴西、利比亚、阿尔及利亚等主要市场建有办事处，在澳大利亚、印度、新加坡、南非、埃塞俄比亚、沙特阿拉伯等国家设有代表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1972年，公司前身始建于山东省临沂市，由一家年产值几百万元的国营小厂起步，历经几十年发展成为中国工程机械行业大型骨干企业。</w:t>
      </w:r>
    </w:p>
    <w:p>
      <w:pPr>
        <w:spacing w:lineRule="exact" w:line="600" w:before="0" w:after="0"/>
        <w:ind w:firstLine="420"/>
        <w:jc w:val="both"/>
      </w:pPr>
      <w:r>
        <w:rPr>
          <w:rFonts w:ascii="仿宋_GB2312" w:hAnsi="仿宋_GB2312" w:eastAsia="仿宋_GB2312"/>
          <w:b w:val="0"/>
          <w:color w:val="000000"/>
          <w:sz w:val="32"/>
        </w:rPr>
        <w:t>2003年12月，现行法人主体山东临工工程机械有限公司登记设立。</w:t>
      </w:r>
    </w:p>
    <w:p>
      <w:pPr>
        <w:spacing w:lineRule="exact" w:line="600" w:before="0" w:after="0"/>
        <w:ind w:firstLine="420"/>
        <w:jc w:val="both"/>
      </w:pPr>
      <w:r>
        <w:rPr>
          <w:rFonts w:ascii="仿宋_GB2312" w:hAnsi="仿宋_GB2312" w:eastAsia="仿宋_GB2312"/>
          <w:b w:val="0"/>
          <w:color w:val="000000"/>
          <w:sz w:val="32"/>
        </w:rPr>
        <w:t>2006年至2010年，沃尔沃建筑设备通过沃尔沃（中国）投资有限公司与Volvo Construction Equipment AB入股并取得控股地位，公司成为沃尔沃集团的核心企业之一，在质量管理体系、产品平台、全球渠道方面深度受益于外方股东。</w:t>
      </w:r>
    </w:p>
    <w:p>
      <w:pPr>
        <w:spacing w:lineRule="exact" w:line="600" w:before="0" w:after="0"/>
        <w:ind w:firstLine="420"/>
        <w:jc w:val="both"/>
      </w:pPr>
      <w:r>
        <w:rPr>
          <w:rFonts w:ascii="仿宋_GB2312" w:hAnsi="仿宋_GB2312" w:eastAsia="仿宋_GB2312"/>
          <w:b w:val="0"/>
          <w:color w:val="000000"/>
          <w:sz w:val="32"/>
        </w:rPr>
        <w:t>2016年至2019年，公司先后荣获“全国质量奖”“亚洲质量卓越奖”“欧洲质量奖”，质量管理水平获得国际认可。2018年，公司入选制造业单项冠军示范企业；2019年11月13日，公司上榜工业和信息化部单项冠军示范企业（第一批）名单。</w:t>
      </w:r>
    </w:p>
    <w:p>
      <w:pPr>
        <w:spacing w:lineRule="exact" w:line="600" w:before="0" w:after="0"/>
        <w:ind w:firstLine="420"/>
        <w:jc w:val="both"/>
      </w:pPr>
      <w:r>
        <w:rPr>
          <w:rFonts w:ascii="仿宋_GB2312" w:hAnsi="仿宋_GB2312" w:eastAsia="仿宋_GB2312"/>
          <w:b w:val="0"/>
          <w:color w:val="000000"/>
          <w:sz w:val="32"/>
        </w:rPr>
        <w:t>2020年至2024年，公司连续获评中国500最具价值品牌、中国工程机械综合制造商10强、亚洲品牌500强等荣誉，并在中国工程机械年度产品TOP50评选中多次获奖。2023年获评制造业单项冠军产品。</w:t>
      </w:r>
    </w:p>
    <w:p>
      <w:pPr>
        <w:spacing w:lineRule="exact" w:line="600" w:before="0" w:after="0"/>
        <w:ind w:firstLine="420"/>
        <w:jc w:val="both"/>
      </w:pPr>
      <w:r>
        <w:rPr>
          <w:rFonts w:ascii="仿宋_GB2312" w:hAnsi="仿宋_GB2312" w:eastAsia="仿宋_GB2312"/>
          <w:b w:val="0"/>
          <w:color w:val="000000"/>
          <w:sz w:val="32"/>
        </w:rPr>
        <w:t>2025年8月29日，沃尔沃系股东全部退出，上海鼎迦临咨询管理有限公司持股70%成为控股股东，公司完成由外资控股向内资控股的转变。同年，公司入选国家级企业技术中心和国家级知识产权示范企业。</w:t>
      </w:r>
    </w:p>
    <w:p>
      <w:pPr>
        <w:spacing w:lineRule="exact" w:line="600" w:before="0" w:after="0"/>
        <w:ind w:firstLine="420"/>
        <w:jc w:val="both"/>
      </w:pPr>
      <w:r>
        <w:rPr>
          <w:rFonts w:ascii="仿宋_GB2312" w:hAnsi="仿宋_GB2312" w:eastAsia="仿宋_GB2312"/>
          <w:b w:val="0"/>
          <w:color w:val="000000"/>
          <w:sz w:val="32"/>
        </w:rPr>
        <w:t>2026年，公司获评省级先进级智能工厂；4月参加西班牙萨拉戈萨国际工程机械与矿山机械展览会（SMOPYC 2026），以“全球布局，本土践行”为主题展示电动化、智能化、合规化产品；同期与珀金斯（Perkins）签署战略协议，并开行山东临工供应链中欧班列专列。</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公司战略定位为“成为国际化的工程机械领先企业”，秉承“可靠承载重托”的核心理念，走名牌之路、建百年临工。在“十四五”以来，公司明确锚定“生态化、电动化、国际化、数智化”四大战略方向。</w:t>
      </w:r>
    </w:p>
    <w:p>
      <w:pPr>
        <w:spacing w:lineRule="exact" w:line="600" w:before="0" w:after="0"/>
        <w:ind w:firstLine="420"/>
        <w:jc w:val="both"/>
      </w:pPr>
      <w:r>
        <w:rPr>
          <w:rFonts w:ascii="仿宋_GB2312" w:hAnsi="仿宋_GB2312" w:eastAsia="仿宋_GB2312"/>
          <w:b w:val="0"/>
          <w:color w:val="000000"/>
          <w:sz w:val="32"/>
        </w:rPr>
        <w:t>主营业务为工程机械整机及关键零部件的研发、制造、销售与服务，构成“3+1”产品体系：“3”为三大支柱产品平台——装载机、挖掘机、道路机械；“1”为变速箱、驱动桥、驾驶室、主控阀等关键零部件。公司产品种类超过100种（官网口径）／生产线涵盖300多种产品（媒体口径），广泛应用于大型矿山、基础设施建设、市政工程、园林绿化等各类工程场景。</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整机销售为主体，零部件与后市场服务为补充。关于收入规模，公开渠道存在两个不同口径，本报告如实并列，不作合并：一是e-works报道引述公司信息技术研究院院长王鹏在2025年腾讯全球数字生态大会青岛峰会上的表述，“2024年，临工实现销售收入约125亿元”；二是新浪财经《闪电评论》报道，“2024年，山东临工销售额突破314亿元”，并称其位列中国工程机械综合制造商第四名。两个数字差异较大，推测前者为山东临工单体口径、后者为临工集团合并口径（临工集团另有临工重机等主体），使用时须注明口径来源。</w:t>
      </w:r>
    </w:p>
    <w:p>
      <w:pPr>
        <w:spacing w:lineRule="exact" w:line="600" w:before="0" w:after="0"/>
        <w:ind w:firstLine="420"/>
        <w:jc w:val="both"/>
      </w:pPr>
      <w:r>
        <w:rPr>
          <w:rFonts w:ascii="仿宋_GB2312" w:hAnsi="仿宋_GB2312" w:eastAsia="仿宋_GB2312"/>
          <w:b w:val="0"/>
          <w:color w:val="000000"/>
          <w:sz w:val="32"/>
        </w:rPr>
        <w:t>出口业务方面，据山东临工国际营销公司副总经理张帅公开介绍，2024年公司出口各类工程机械1.1万余台，出口销售收入40余亿元；2025年一季度进出口总值达9亿元，同比增长15.46%。2025年上半年公司对非洲整机出口量同比增幅超80%。</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第一，装载机。这是公司的旗舰产品，市场占有率27%，稳居行业头把交椅。代表机型包括L956F、L959H、L968F HD、L972H、L975F等，其中L972H轮式装载机获2022年TOP50“金口碑奖”，L975F轮式装载机获2019年TOP50市场表现金奖。</w:t>
      </w:r>
    </w:p>
    <w:p>
      <w:pPr>
        <w:spacing w:lineRule="exact" w:line="600" w:before="0" w:after="0"/>
        <w:ind w:firstLine="420"/>
        <w:jc w:val="both"/>
      </w:pPr>
      <w:r>
        <w:rPr>
          <w:rFonts w:ascii="仿宋_GB2312" w:hAnsi="仿宋_GB2312" w:eastAsia="仿宋_GB2312"/>
          <w:b w:val="0"/>
          <w:color w:val="000000"/>
          <w:sz w:val="32"/>
        </w:rPr>
        <w:t>第二，挖掘机。市场占有率10%，位列全国第三。代表机型包括E6120F、E6205F、E6500F、E6600FB打锤王等，其中E6600FB打锤王获2022年TOP50评委会奖。</w:t>
      </w:r>
    </w:p>
    <w:p>
      <w:pPr>
        <w:spacing w:lineRule="exact" w:line="600" w:before="0" w:after="0"/>
        <w:ind w:firstLine="420"/>
        <w:jc w:val="both"/>
      </w:pPr>
      <w:r>
        <w:rPr>
          <w:rFonts w:ascii="仿宋_GB2312" w:hAnsi="仿宋_GB2312" w:eastAsia="仿宋_GB2312"/>
          <w:b w:val="0"/>
          <w:color w:val="000000"/>
          <w:sz w:val="32"/>
        </w:rPr>
        <w:t>第三，道路机械。为公司蓬勃发展的第三大产品平台，主要为压路机等高等级公路、机场压实设备。</w:t>
      </w:r>
    </w:p>
    <w:p>
      <w:pPr>
        <w:spacing w:lineRule="exact" w:line="600" w:before="0" w:after="0"/>
        <w:ind w:firstLine="420"/>
        <w:jc w:val="both"/>
      </w:pPr>
      <w:r>
        <w:rPr>
          <w:rFonts w:ascii="仿宋_GB2312" w:hAnsi="仿宋_GB2312" w:eastAsia="仿宋_GB2312"/>
          <w:b w:val="0"/>
          <w:color w:val="000000"/>
          <w:sz w:val="32"/>
        </w:rPr>
        <w:t>第四，关键零部件。包括变速箱、驱动桥、驾驶室、主控阀等，既内部配套整机，也对外销售，是公司垂直一体化能力的体现。</w:t>
      </w:r>
    </w:p>
    <w:p>
      <w:pPr>
        <w:spacing w:lineRule="exact" w:line="600" w:before="0" w:after="0"/>
        <w:ind w:firstLine="420"/>
        <w:jc w:val="both"/>
      </w:pPr>
      <w:r>
        <w:rPr>
          <w:rFonts w:ascii="仿宋_GB2312" w:hAnsi="仿宋_GB2312" w:eastAsia="仿宋_GB2312"/>
          <w:b w:val="0"/>
          <w:color w:val="000000"/>
          <w:sz w:val="32"/>
        </w:rPr>
        <w:t>第五，新能源产品。公司推出“纯电动力核心技术+智能能源管理系统”的新能源工程机械，L956HEV纯电动装载机获中国工程机械新能源设备明星产品，并于2024、2025年连续获评新能源设备明星产品。据公司规划，电动装载机渗透率将从2023年的3.5%提升至2025年预期的25%，即每卖出四台装载机将有一台是电动装载机。</w:t>
      </w:r>
    </w:p>
    <w:p>
      <w:pPr>
        <w:spacing w:lineRule="exact" w:line="600" w:before="0" w:after="0"/>
        <w:ind w:firstLine="420"/>
        <w:jc w:val="both"/>
      </w:pPr>
      <w:r>
        <w:rPr>
          <w:rFonts w:ascii="仿宋_GB2312" w:hAnsi="仿宋_GB2312" w:eastAsia="仿宋_GB2312"/>
          <w:b w:val="0"/>
          <w:color w:val="000000"/>
          <w:sz w:val="32"/>
        </w:rPr>
        <w:t>第六，服务与数字化产品。公司搭建大数据平台，实现对38万余台在售车辆运行状态的长期跟踪、故障预警和远程诊断，实时回传1万多台测试车辆数据，为产品迭代升级提供支撑，同时形成后市场服务能力。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国内客户以基建施工企业、矿山企业、租赁公司、市政园林单位及个体机主为主，通过遍布全国的代理商和销售网点覆盖，公司承诺关键区域50公里内必有临工服务。大客户方面，公司参与中国石化国际事业有限公司2026—2027年度轮式装载机联合框架协议招标并中标，显示其具备服务大型央企客户的资质与能力。</w:t>
      </w:r>
    </w:p>
    <w:p>
      <w:pPr>
        <w:spacing w:lineRule="exact" w:line="600" w:before="0" w:after="0"/>
        <w:ind w:firstLine="420"/>
        <w:jc w:val="both"/>
      </w:pPr>
      <w:r>
        <w:rPr>
          <w:rFonts w:ascii="仿宋_GB2312" w:hAnsi="仿宋_GB2312" w:eastAsia="仿宋_GB2312"/>
          <w:b w:val="0"/>
          <w:color w:val="000000"/>
          <w:sz w:val="32"/>
        </w:rPr>
        <w:t>海外客户覆盖130余个国家和地区，拥有110家经销商、近60家国际一级经销商和服务商。2026年在土耳其国际工程机械展上展示13款CE认证定制化产品并签约新经销商，现场及意向订单超300台；H系列产品在菲律宾宿务发布，深化东南亚市场布局；巴西公司完成首批电动装载机交付，推进拉美本土化。客户结构高度分散，单一客户依赖风险低，但受各国基建投资周期与政治风险影响。</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采购体系依托临沂本地产业链，厂区周围已聚集300多家产业链上下游企业，本地配套率高、响应速度快。关键零部件如液压油缸主要由山东金利液压科技有限公司等本地企业供应，发动机等核心动力总成通过与珀金斯（Perkins）等国际供应商签署战略协议保障供应。公司自制变速箱、驱动桥、驾驶室、主控阀等，垂直一体化程度较高，有利于成本控制与质量管控。</w:t>
      </w:r>
    </w:p>
    <w:p>
      <w:pPr>
        <w:spacing w:lineRule="exact" w:line="600" w:before="0" w:after="0"/>
        <w:ind w:firstLine="420"/>
        <w:jc w:val="both"/>
      </w:pPr>
      <w:r>
        <w:rPr>
          <w:rFonts w:ascii="仿宋_GB2312" w:hAnsi="仿宋_GB2312" w:eastAsia="仿宋_GB2312"/>
          <w:b w:val="0"/>
          <w:color w:val="000000"/>
          <w:sz w:val="32"/>
        </w:rPr>
        <w:t>物流方面，2026年6月开行“山东高速集团—山东临工供应链专列”中欧班列，提升海外零部件与整机运输时效，降低对海运的依赖。</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与资质方面，公司为国家工程机械行业大型骨干企业、国家级高新技术企业、制造业单项冠军示范企业（2019年第一批）、国家级企业技术中心（2025年入选）、国家级知识产权示范企业（2025年入选）、省级先进级智能工厂（2026年获评）、绿色制造企业、技术创新示范企业。</w:t>
      </w:r>
    </w:p>
    <w:p>
      <w:pPr>
        <w:spacing w:lineRule="exact" w:line="600" w:before="0" w:after="0"/>
        <w:ind w:firstLine="420"/>
        <w:jc w:val="both"/>
      </w:pPr>
      <w:r>
        <w:rPr>
          <w:rFonts w:ascii="仿宋_GB2312" w:hAnsi="仿宋_GB2312" w:eastAsia="仿宋_GB2312"/>
          <w:b w:val="0"/>
          <w:color w:val="000000"/>
          <w:sz w:val="32"/>
        </w:rPr>
        <w:t>知识产权方面，公司官网披露专利290余项，第三方平台收录专利1604项、商标158项，拥有装载机动态称重系统软件、L959H装载机显示器软件系统等多项软件著作权。公司建有国家级技术中心和博士后工作站，承担了国家863项目及省级以上多项科研课题。</w:t>
      </w:r>
    </w:p>
    <w:p>
      <w:pPr>
        <w:spacing w:lineRule="exact" w:line="600" w:before="0" w:after="0"/>
        <w:ind w:firstLine="420"/>
        <w:jc w:val="both"/>
      </w:pPr>
      <w:r>
        <w:rPr>
          <w:rFonts w:ascii="仿宋_GB2312" w:hAnsi="仿宋_GB2312" w:eastAsia="仿宋_GB2312"/>
          <w:b w:val="0"/>
          <w:color w:val="000000"/>
          <w:sz w:val="32"/>
        </w:rPr>
        <w:t>体系认证方面，公司通过ISO9001质量管理体系认证，取得出口产品质量许可证和进出口企业资格证，持有非煤安全标志等资质证书，出口欧洲产品已取得CE认证。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国内采取代理商制为主的渠道模式，构建覆盖全国的代理商与销售网点体系，服务半径承诺50公里。海外采取“经销商+海外子公司+运营中心+办事处/代表处”的多层次布局，2024年参加100余场国际展销会。公司还通过全球合作伙伴大会、商务大会、全球经销商峰会等定期活动维护渠道关系。</w:t>
      </w:r>
    </w:p>
    <w:p>
      <w:pPr>
        <w:spacing w:lineRule="exact" w:line="600" w:before="0" w:after="0"/>
        <w:ind w:firstLine="420"/>
        <w:jc w:val="both"/>
      </w:pPr>
      <w:r>
        <w:rPr>
          <w:rFonts w:ascii="仿宋_GB2312" w:hAnsi="仿宋_GB2312" w:eastAsia="仿宋_GB2312"/>
          <w:b w:val="0"/>
          <w:color w:val="000000"/>
          <w:sz w:val="32"/>
        </w:rPr>
        <w:t>数字化营销方面，公司借助腾讯云“全球一朵云”推进数字化转型与海外拓展，在工业装备数字化、工业网络全连接、工业软件云化、工业数据价值化四个方向布局。</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引用的核心经营与市场数据包括：装载机市占率27%、行业第一；挖掘机市占率10%、全国第三；2024年销售收入约125亿元（公司高管口径，单体）／销售额突破314亿元（媒体口径，疑为集团合并）；2024年出口整机1.1万余台、出口销售收入40余亿元；业务覆盖130余个国家和地区（另有口径为60余个国家和地区）；在售车辆联网监控38万余台；参保员工3518人。</w:t>
      </w:r>
    </w:p>
    <w:p>
      <w:pPr>
        <w:spacing w:lineRule="exact" w:line="600" w:before="0" w:after="0"/>
        <w:ind w:firstLine="420"/>
        <w:jc w:val="both"/>
      </w:pPr>
      <w:r>
        <w:rPr>
          <w:rFonts w:ascii="仿宋_GB2312" w:hAnsi="仿宋_GB2312" w:eastAsia="仿宋_GB2312"/>
          <w:b w:val="0"/>
          <w:color w:val="000000"/>
          <w:sz w:val="32"/>
        </w:rPr>
        <w:t>荣誉与排名方面，公司为世界工程机械50强、中国三大工程机械出口商之一、中国机械工业100强、2024中国工程机械综合制造商10强、中国工程机械综合制造商第四名（2024年媒体口径）、2022—2025年连续入选中国500最具价值品牌。</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有限责任公司，无法定信息披露义务，未在巨潮资讯网或证券交易所公开定期报告。经检索公司官网、第三方商业信息平台与公开媒体，未能获取公司连续三年完整的营业收入、净利润、毛利率、资产负债率、经营活动现金流量净额等指标。本报告如实标注：完整财务报表未公开披露，不作推算。</w:t>
      </w:r>
    </w:p>
    <w:p>
      <w:pPr>
        <w:spacing w:lineRule="exact" w:line="600" w:before="0" w:after="0"/>
        <w:ind w:firstLine="420"/>
        <w:jc w:val="both"/>
      </w:pPr>
      <w:r>
        <w:rPr>
          <w:rFonts w:ascii="仿宋_GB2312" w:hAnsi="仿宋_GB2312" w:eastAsia="仿宋_GB2312"/>
          <w:b w:val="0"/>
          <w:color w:val="000000"/>
          <w:sz w:val="32"/>
        </w:rPr>
        <w:t>可引用的零散量化数据为：注册资本及实缴资本均为153593万元；2024年销售收入约125亿元（公司高管口径）／销售额314亿元（媒体口径）；2024年出口销售收入40余亿元；2025年一季度进出口总值9亿元、同比增长15.46%；2022年4月入选外经贸提质增效示范项目并获专项资金5000余万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定性判断：装载机市占率27%的行业第一地位赋予公司较强的定价权与规模效应，零部件自制比例高有利于毛利率维持；国家级高新技术企业身份可享15%企业所得税优惠税率。不利因素在于：2022年以来国内工程机械行业处于下行周期，国内需求疲弱，行业整体价格竞争激烈；电动化产品前期研发与市场培育投入较大。综合看，出口高增长（2024年出口收入40余亿元、非洲出口量增幅超80%）是当前盈利的主要支撑。上述为定性分析，非公司实际数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生产基地厂房设备、存货和应收账款为主。第三方平台显示公司有购地信息8宗、地块公示8条，拥有较多自有土地与厂房，不动产资产质量较好。需注意的是，工程机械行业普遍采用融资租赁、按揭销售等信用销售方式，公司可能存在较大规模的应收账款、长期应收款及回购担保或有负债，这是行业共性风险点，具体规模因未披露而无法评估。</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未公开。可关注的公开信息包括：第三方平台显示公司存在股权出质记录4条（含大股东上海鼎迦临咨询管理有限公司的股权出质），存在动产抵押记录，并有（2025）京0112民初32548号最高额抵押权纠纷案件于2026年6月9日开庭。股权出质通常与并购融资相关，结合2025年8月的股权变更判断，新股东上海鼎迦临可能采用了杠杆收购方式，这将在合并层面形成一定的偿债压力，需在授信中重点关注。</w:t>
      </w:r>
    </w:p>
    <w:p>
      <w:pPr>
        <w:spacing w:lineRule="exact" w:line="600" w:before="0" w:after="0"/>
        <w:ind w:firstLine="420"/>
        <w:jc w:val="both"/>
      </w:pPr>
      <w:r>
        <w:rPr>
          <w:rFonts w:ascii="仿宋_GB2312" w:hAnsi="仿宋_GB2312" w:eastAsia="仿宋_GB2312"/>
          <w:b w:val="0"/>
          <w:color w:val="000000"/>
          <w:sz w:val="32"/>
        </w:rPr>
        <w:t>同时，第三方平台显示公司自身风险136条、司法案件186条、涉诉关系170个（爱企查口径）／涉及案件167条（水滴信用口径）。对于一家参保3518人、年销售收入过百亿元的大型制造企业而言，这一涉诉规模在行业内属正常范畴，主要为买卖合同、融资租赁、产品质量及知识产权类常规商事纠纷，未发现失信被执行人记录。本报告仅引述第三方平台公开展示信息，具体情况以权威司法平台查询结果为准。</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判断：公司出口占比较高且持续增长，海外销售多采用信用证或预付款方式，回款质量优于国内按揭与融资租赁销售；国内销售受行业下行影响，存在账期拉长与逾期风险。投资活动方面，公司持续投入电动化研发、智能工厂建设与海外工厂布局，资本开支需求稳定。筹资活动方面，控股股东变更后的整合与偿债安排是影响现金流的重要变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国内工程机械可比上市公司包括三一重工、徐工机械、柳工、山推股份等。以2024年年报公开数据看，柳工营业收入约300亿元、装载机为其核心产品；山推股份营业收入约130亿元。山东临工单体销售收入约125亿元（高管口径），与山推股份体量相近；若按314亿元的集团口径，则与柳工相当。在装载机细分领域，山东临工27%的市占率居行业第一，高于柳工等主要竞争对手，细分市场地位突出。因公司自身财务数据缺失，本报告不进行具体财务指标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公司为有限责任公司，设董事会。现有主要人员4名：董事长王志中（法定代表人）、总经理兼董事文德刚、董事迟峰、财务负责人张罡。</w:t>
      </w:r>
    </w:p>
    <w:p>
      <w:pPr>
        <w:spacing w:lineRule="exact" w:line="600" w:before="0" w:after="0"/>
        <w:ind w:firstLine="420"/>
        <w:jc w:val="both"/>
      </w:pPr>
      <w:r>
        <w:rPr>
          <w:rFonts w:ascii="仿宋_GB2312" w:hAnsi="仿宋_GB2312" w:eastAsia="仿宋_GB2312"/>
          <w:b w:val="0"/>
          <w:color w:val="000000"/>
          <w:sz w:val="32"/>
        </w:rPr>
        <w:t>2025年8月股权变更后，治理格局发生实质性变化：此前由沃尔沃方派驻董事参与治理、按跨国公司规范运作的模式告一段落；当前由私募基金背景的上海鼎迦临（70%）与管理层持股平台主导的临沂临工机械集团（30%）共同治理。值得注意的是，董事长王志中同时是临沂临工机械集团的第一大股东（持股34.6067%），总经理文德刚亦持股5.1364%，管理层与股东身份高度重合，这有利于决策效率和长期激励一致性，但也弱化了外部制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王志中现任临工集团董事长、山东临工董事长兼法定代表人，关联企业16家，是公司的核心领导者与实际控制人之一。文德刚任山东临工总经理、董事，同时担任临沂市企业家协会会长，在地方产业界具有较高影响力。中层管理团队中，信息技术研究院院长王鹏、国际营销公司副总经理张帅、战略规划本部部长冯超等在数字化、国际化、战略规划领域各司其职，专业化分工清晰。</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质量管理体系是其突出优势。2016年至2019年先后获得“全国质量奖”“亚洲质量卓越奖”“欧洲质量奖”，这在国内工程机械企业中较为罕见，反映其在过程控制、质量目标管理方面达到国际先进水平。公司通过ISO9001认证，建立了从设计、采购、制造到售后的全流程质量控制体系。</w:t>
      </w:r>
    </w:p>
    <w:p>
      <w:pPr>
        <w:spacing w:lineRule="exact" w:line="600" w:before="0" w:after="0"/>
        <w:ind w:firstLine="420"/>
        <w:jc w:val="both"/>
      </w:pPr>
      <w:r>
        <w:rPr>
          <w:rFonts w:ascii="仿宋_GB2312" w:hAnsi="仿宋_GB2312" w:eastAsia="仿宋_GB2312"/>
          <w:b w:val="0"/>
          <w:color w:val="000000"/>
          <w:sz w:val="32"/>
        </w:rPr>
        <w:t>数字化内控方面，公司依托大数据平台实现对38万余台在售设备的运行监控与故障预警，既是服务能力也是风险管控手段；在数智化战略下推进工业数据价值化，管理颗粒度不断细化。2026年获评省级先进级智能工厂，标志其生产制造环节的数字化管控达到较高水平。</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3518人（2025年报口径，另有3340人的2025年报口径记录），属大型制造企业配置。公司建有国家级技术中心和博士后工作站，与国内重点院校、科研院所保持长期合作，构建了开放高效的技术合作与技术创新体系，并获评机械工业人才评价工作先进集体。</w:t>
      </w:r>
    </w:p>
    <w:p>
      <w:pPr>
        <w:spacing w:lineRule="exact" w:line="600" w:before="0" w:after="0"/>
        <w:ind w:firstLine="420"/>
        <w:jc w:val="both"/>
      </w:pPr>
      <w:r>
        <w:rPr>
          <w:rFonts w:ascii="仿宋_GB2312" w:hAnsi="仿宋_GB2312" w:eastAsia="仿宋_GB2312"/>
          <w:b w:val="0"/>
          <w:color w:val="000000"/>
          <w:sz w:val="32"/>
        </w:rPr>
        <w:t>从公开招聘信息看，公司在招岗位包括海外销售（设备租赁方向，月薪1万—2万元、本科、1—3年经验）、业财分析员（月薪6000—10000元、本科、3—5年经验）等，招聘方向集中于国际化与精细化管理领域，与其国际化、数智化战略相匹配。公司还曾获“全国工人先锋号”“省五一劳动奖章”等荣誉。</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市场份额与品牌壁垒。装载机市占率27%、行业第一，挖掘机市占率10%、全国第三，连续多年入选中国500最具价值品牌、亚洲品牌500强。在工程机械这一强调可靠性与保值率的行业中，品牌与保有量本身构成难以逾越的壁垒——38万余台在售设备形成的存量基础，既带来后市场收益，也强化客户复购粘性。</w:t>
      </w:r>
    </w:p>
    <w:p>
      <w:pPr>
        <w:spacing w:lineRule="exact" w:line="600" w:before="0" w:after="0"/>
        <w:ind w:firstLine="420"/>
        <w:jc w:val="both"/>
      </w:pPr>
      <w:r>
        <w:rPr>
          <w:rFonts w:ascii="仿宋_GB2312" w:hAnsi="仿宋_GB2312" w:eastAsia="仿宋_GB2312"/>
          <w:b w:val="0"/>
          <w:color w:val="000000"/>
          <w:sz w:val="32"/>
        </w:rPr>
        <w:t>第二，质量管理体系壁垒。全国质量奖、亚洲质量卓越奖、欧洲质量奖“大满贯”是国内同行中极为稀缺的资质组合，这套体系是长期积淀的组织能力，难以通过资本投入短期复制。</w:t>
      </w:r>
    </w:p>
    <w:p>
      <w:pPr>
        <w:spacing w:lineRule="exact" w:line="600" w:before="0" w:after="0"/>
        <w:ind w:firstLine="420"/>
        <w:jc w:val="both"/>
      </w:pPr>
      <w:r>
        <w:rPr>
          <w:rFonts w:ascii="仿宋_GB2312" w:hAnsi="仿宋_GB2312" w:eastAsia="仿宋_GB2312"/>
          <w:b w:val="0"/>
          <w:color w:val="000000"/>
          <w:sz w:val="32"/>
        </w:rPr>
        <w:t>第三，全球化渠道网络。覆盖130余个国家和地区、110家经销商、2座海外工厂、7家海外子公司、19个国家和地区的运营中心，这一网络的建设周期长、投入大，是后来者最难追赶的资产。在国内需求下行周期中，海外网络成为公司业绩的关键支撑。</w:t>
      </w:r>
    </w:p>
    <w:p>
      <w:pPr>
        <w:spacing w:lineRule="exact" w:line="600" w:before="0" w:after="0"/>
        <w:ind w:firstLine="420"/>
        <w:jc w:val="both"/>
      </w:pPr>
      <w:r>
        <w:rPr>
          <w:rFonts w:ascii="仿宋_GB2312" w:hAnsi="仿宋_GB2312" w:eastAsia="仿宋_GB2312"/>
          <w:b w:val="0"/>
          <w:color w:val="000000"/>
          <w:sz w:val="32"/>
        </w:rPr>
        <w:t>第四，垂直一体化与本地配套优势。公司自制变速箱、驱动桥、驾驶室、主控阀等关键部件，同时周边聚集300余家配套企业，新产品从设计图到样机仅需4—5个月，响应速度与成本控制能力行业领先。</w:t>
      </w:r>
    </w:p>
    <w:p>
      <w:pPr>
        <w:spacing w:lineRule="exact" w:line="600" w:before="0" w:after="0"/>
        <w:ind w:firstLine="420"/>
        <w:jc w:val="both"/>
      </w:pPr>
      <w:r>
        <w:rPr>
          <w:rFonts w:ascii="仿宋_GB2312" w:hAnsi="仿宋_GB2312" w:eastAsia="仿宋_GB2312"/>
          <w:b w:val="0"/>
          <w:color w:val="000000"/>
          <w:sz w:val="32"/>
        </w:rPr>
        <w:t>第五，电动化先发优势。L956HEV纯电动装载机连续获评行业新能源明星产品，电动装载机渗透率从2023年3.5%快速提升，在行业电动化转型窗口期占据有利身位。</w:t>
      </w:r>
    </w:p>
    <w:p>
      <w:pPr>
        <w:spacing w:lineRule="exact" w:line="600" w:before="0" w:after="0"/>
        <w:ind w:firstLine="420"/>
        <w:jc w:val="both"/>
      </w:pPr>
      <w:r>
        <w:rPr>
          <w:rFonts w:ascii="仿宋_GB2312" w:hAnsi="仿宋_GB2312" w:eastAsia="仿宋_GB2312"/>
          <w:b w:val="0"/>
          <w:color w:val="000000"/>
          <w:sz w:val="32"/>
        </w:rPr>
        <w:t>第六，创新平台与知识产权。国家级企业技术中心、国家级知识产权示范企业、博士后工作站、1600余项专利、158项商标，构成完整的创新与知识产权保护体系。</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（一）股权变更带来的战略与经营风险（首要风险）</w:t>
      </w:r>
    </w:p>
    <w:p>
      <w:pPr>
        <w:spacing w:lineRule="exact" w:line="600" w:before="0" w:after="0"/>
        <w:ind w:firstLine="420"/>
        <w:jc w:val="both"/>
      </w:pPr>
      <w:r>
        <w:rPr>
          <w:rFonts w:ascii="仿宋_GB2312" w:hAnsi="仿宋_GB2312" w:eastAsia="仿宋_GB2312"/>
          <w:b w:val="0"/>
          <w:color w:val="000000"/>
          <w:sz w:val="32"/>
        </w:rPr>
        <w:t>2025年8月沃尔沃系股东全部退出，是本企业当前最重大的不确定性来源。潜在影响包括：一是技术与产品平台风险，此前公司在发动机标定、液压系统、整机平台上可能存在对沃尔沃技术的依赖或授权，外方退出后相关技术授权、专利许可能否延续存在不确定性；二是品牌与渠道风险，沃尔沃体系此前为SDLG产品在部分海外市场提供渠道协同，退出后海外渠道需完全自主运营；三是供应链风险，原有的全球采购协同优势可能弱化；四是财务风险，若新股东采用杠杆收购，相关债务可能通过分红等方式向标的公司传导。</w:t>
      </w:r>
    </w:p>
    <w:p>
      <w:pPr>
        <w:spacing w:lineRule="exact" w:line="600" w:before="0" w:after="0"/>
        <w:ind w:firstLine="420"/>
        <w:jc w:val="both"/>
      </w:pPr>
      <w:r>
        <w:rPr>
          <w:rFonts w:ascii="仿宋_GB2312" w:hAnsi="仿宋_GB2312" w:eastAsia="仿宋_GB2312"/>
          <w:b w:val="0"/>
          <w:color w:val="000000"/>
          <w:sz w:val="32"/>
        </w:rPr>
        <w:t>现有应对措施：公司加快自主品牌国际化布局，2026年在西班牙SMOPYC展、土耳其展、菲律宾等地密集开展自主品牌推广；与珀金斯签署战略协议保障动力总成供应；开行中欧班列供应链专列强化自主物流能力；设立临沂市临工国际贸易有限公司（2025年5月）强化自营外贸能力。这些举措显示公司已对“后沃尔沃时代”做出系统性安排。</w:t>
      </w:r>
    </w:p>
    <w:p>
      <w:pPr>
        <w:spacing w:lineRule="exact" w:line="600" w:before="120" w:after="120"/>
        <w:ind w:firstLine="420"/>
        <w:jc w:val="left"/>
      </w:pPr>
      <w:r>
        <w:rPr>
          <w:rFonts w:ascii="楷体_GB2312" w:hAnsi="楷体_GB2312" w:eastAsia="楷体_GB2312"/>
          <w:b w:val="0"/>
          <w:color w:val="000000"/>
          <w:sz w:val="32"/>
        </w:rPr>
        <w:t>（二）行业周期风险</w:t>
      </w:r>
    </w:p>
    <w:p>
      <w:pPr>
        <w:spacing w:lineRule="exact" w:line="600" w:before="0" w:after="0"/>
        <w:ind w:firstLine="420"/>
        <w:jc w:val="both"/>
      </w:pPr>
      <w:r>
        <w:rPr>
          <w:rFonts w:ascii="仿宋_GB2312" w:hAnsi="仿宋_GB2312" w:eastAsia="仿宋_GB2312"/>
          <w:b w:val="0"/>
          <w:color w:val="000000"/>
          <w:sz w:val="32"/>
        </w:rPr>
        <w:t>工程机械行业具有强周期属性，与固定资产投资、房地产开发、基础设施建设高度相关。2021年以来国内工程机械行业进入下行调整期，国内挖掘机、装载机销量较峰值明显回落，行业竞争加剧、价格战频发。若国内基建投资与房地产投资持续疲弱，公司国内业务将持续承压。</w:t>
      </w:r>
    </w:p>
    <w:p>
      <w:pPr>
        <w:spacing w:lineRule="exact" w:line="600" w:before="0" w:after="0"/>
        <w:ind w:firstLine="420"/>
        <w:jc w:val="both"/>
      </w:pPr>
      <w:r>
        <w:rPr>
          <w:rFonts w:ascii="仿宋_GB2312" w:hAnsi="仿宋_GB2312" w:eastAsia="仿宋_GB2312"/>
          <w:b w:val="0"/>
          <w:color w:val="000000"/>
          <w:sz w:val="32"/>
        </w:rPr>
        <w:t>应对措施：公司大力开拓海外市场，2024年出口整机1.1万余台、出口收入40余亿元，2025年上半年对非洲出口量同比增幅超80%，以海外增量对冲国内下行。</w:t>
      </w:r>
    </w:p>
    <w:p>
      <w:pPr>
        <w:spacing w:lineRule="exact" w:line="600" w:before="120" w:after="120"/>
        <w:ind w:firstLine="420"/>
        <w:jc w:val="left"/>
      </w:pPr>
      <w:r>
        <w:rPr>
          <w:rFonts w:ascii="楷体_GB2312" w:hAnsi="楷体_GB2312" w:eastAsia="楷体_GB2312"/>
          <w:b w:val="0"/>
          <w:color w:val="000000"/>
          <w:sz w:val="32"/>
        </w:rPr>
        <w:t>（三）国际经营风险</w:t>
      </w:r>
    </w:p>
    <w:p>
      <w:pPr>
        <w:spacing w:lineRule="exact" w:line="600" w:before="0" w:after="0"/>
        <w:ind w:firstLine="420"/>
        <w:jc w:val="both"/>
      </w:pPr>
      <w:r>
        <w:rPr>
          <w:rFonts w:ascii="仿宋_GB2312" w:hAnsi="仿宋_GB2312" w:eastAsia="仿宋_GB2312"/>
          <w:b w:val="0"/>
          <w:color w:val="000000"/>
          <w:sz w:val="32"/>
        </w:rPr>
        <w:t>公司业务覆盖130余个国家和地区，面临汇率波动、地缘政治冲突、贸易壁垒与关税调整、部分市场（如俄罗斯、利比亚、阿尔及利亚）的政治与制裁风险、海外应收账款回收风险、海外工厂运营与合规风险。欧盟碳边境调节机制（CBAM）等绿色贸易壁垒亦将增加出口合规成本。</w:t>
      </w:r>
    </w:p>
    <w:p>
      <w:pPr>
        <w:spacing w:lineRule="exact" w:line="600" w:before="120" w:after="120"/>
        <w:ind w:firstLine="420"/>
        <w:jc w:val="left"/>
      </w:pPr>
      <w:r>
        <w:rPr>
          <w:rFonts w:ascii="楷体_GB2312" w:hAnsi="楷体_GB2312" w:eastAsia="楷体_GB2312"/>
          <w:b w:val="0"/>
          <w:color w:val="000000"/>
          <w:sz w:val="32"/>
        </w:rPr>
        <w:t>（四）财务与法律风险</w:t>
      </w:r>
    </w:p>
    <w:p>
      <w:pPr>
        <w:spacing w:lineRule="exact" w:line="600" w:before="0" w:after="0"/>
        <w:ind w:firstLine="420"/>
        <w:jc w:val="both"/>
      </w:pPr>
      <w:r>
        <w:rPr>
          <w:rFonts w:ascii="仿宋_GB2312" w:hAnsi="仿宋_GB2312" w:eastAsia="仿宋_GB2312"/>
          <w:b w:val="0"/>
          <w:color w:val="000000"/>
          <w:sz w:val="32"/>
        </w:rPr>
        <w:t>公司存在股权出质4条、动产抵押记录，并涉最高额抵押权纠纷案件（（2025）京0112民初32548号，2026年6月9日开庭），需关注担保链条与或有负债。第三方平台显示自身风险136条、司法案件186条，虽对大型制造企业属常态，但仍需在尽调中梳理重大诉讼的标的额与败诉风险。此外，工程机械行业普遍存在的按揭销售回购担保与融资租赁担保，可能形成规模较大的表外或有负债。</w:t>
      </w:r>
    </w:p>
    <w:p>
      <w:pPr>
        <w:spacing w:lineRule="exact" w:line="600" w:before="120" w:after="120"/>
        <w:ind w:firstLine="420"/>
        <w:jc w:val="left"/>
      </w:pPr>
      <w:r>
        <w:rPr>
          <w:rFonts w:ascii="楷体_GB2312" w:hAnsi="楷体_GB2312" w:eastAsia="楷体_GB2312"/>
          <w:b w:val="0"/>
          <w:color w:val="000000"/>
          <w:sz w:val="32"/>
        </w:rPr>
        <w:t>（五）技术迭代与竞争风险</w:t>
      </w:r>
    </w:p>
    <w:p>
      <w:pPr>
        <w:spacing w:lineRule="exact" w:line="600" w:before="0" w:after="0"/>
        <w:ind w:firstLine="420"/>
        <w:jc w:val="both"/>
      </w:pPr>
      <w:r>
        <w:rPr>
          <w:rFonts w:ascii="仿宋_GB2312" w:hAnsi="仿宋_GB2312" w:eastAsia="仿宋_GB2312"/>
          <w:b w:val="0"/>
          <w:color w:val="000000"/>
          <w:sz w:val="32"/>
        </w:rPr>
        <w:t>电动化、智能化、无人化是行业技术演进方向，三一重工、徐工机械、柳工等主要竞争对手均在大力投入，技术路线尚未收敛。若公司在电动化电池路线、智能施工系统等方向出现判断失误，前期投入可能沉没。同时，电动装载机渗透率25%的目标能否达成取决于电池成本下降速度与客户接受度。</w:t>
      </w:r>
    </w:p>
    <w:p>
      <w:pPr>
        <w:spacing w:lineRule="exact" w:line="600" w:before="120" w:after="120"/>
        <w:ind w:firstLine="420"/>
        <w:jc w:val="left"/>
      </w:pPr>
      <w:r>
        <w:rPr>
          <w:rFonts w:ascii="楷体_GB2312" w:hAnsi="楷体_GB2312" w:eastAsia="楷体_GB2312"/>
          <w:b w:val="0"/>
          <w:color w:val="000000"/>
          <w:sz w:val="32"/>
        </w:rPr>
        <w:t>（六）人才与管理风险</w:t>
      </w:r>
    </w:p>
    <w:p>
      <w:pPr>
        <w:spacing w:lineRule="exact" w:line="600" w:before="0" w:after="0"/>
        <w:ind w:firstLine="420"/>
        <w:jc w:val="both"/>
      </w:pPr>
      <w:r>
        <w:rPr>
          <w:rFonts w:ascii="仿宋_GB2312" w:hAnsi="仿宋_GB2312" w:eastAsia="仿宋_GB2312"/>
          <w:b w:val="0"/>
          <w:color w:val="000000"/>
          <w:sz w:val="32"/>
        </w:rPr>
        <w:t>外资股东退出后，原有的国际化管理人才与跨国运营经验可能随之流失；管理层与股东身份高度重合，公司治理的外部制衡机制相对薄弱；在临沂这一三线城市引进高端国际化人才难度较大。</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（一）总体判断</w:t>
      </w:r>
    </w:p>
    <w:p>
      <w:pPr>
        <w:spacing w:lineRule="exact" w:line="600" w:before="0" w:after="0"/>
        <w:ind w:firstLine="420"/>
        <w:jc w:val="both"/>
      </w:pPr>
      <w:r>
        <w:rPr>
          <w:rFonts w:ascii="仿宋_GB2312" w:hAnsi="仿宋_GB2312" w:eastAsia="仿宋_GB2312"/>
          <w:b w:val="0"/>
          <w:color w:val="000000"/>
          <w:sz w:val="32"/>
        </w:rPr>
        <w:t>山东临工是本批次24家企业中体量最大、行业地位最高的企业，属典型的“链主型”核心客户。与其合作的价值不仅在于本体业务，更在于以其为核心撬动周边300余家配套企业的批量业务机会。建议将其定位为“战略级核心企业客户”，以供应链金融为主要抓手。</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公司应收账款规模可观，来源包括国内代理商、大型央国企客户（如中国石化国际事业有限公司框架协议项下）及海外经销商。</w:t>
      </w:r>
    </w:p>
    <w:p>
      <w:pPr>
        <w:spacing w:lineRule="exact" w:line="600" w:before="0" w:after="0"/>
        <w:ind w:firstLine="420"/>
        <w:jc w:val="both"/>
      </w:pPr>
      <w:r>
        <w:rPr>
          <w:rFonts w:ascii="仿宋_GB2312" w:hAnsi="仿宋_GB2312" w:eastAsia="仿宋_GB2312"/>
          <w:b w:val="0"/>
          <w:color w:val="000000"/>
          <w:sz w:val="32"/>
        </w:rPr>
        <w:t>建议方案：一是针对央国企客户应收账款开展无追索权保理，买方信用等级高、确权容易，融资比例可达发票金额的85%—90%；二是针对海外应收账款开展出口保理，配套中国出口信用保险公司短期出口信用保险，并办理赔款权益转让，有效对冲海外买方信用风险与国家风险，这与公司出口收入40余亿元的规模高度匹配，业务空间大。</w:t>
      </w:r>
    </w:p>
    <w:p>
      <w:pPr>
        <w:spacing w:lineRule="exact" w:line="600" w:before="120" w:after="120"/>
        <w:ind w:firstLine="420"/>
        <w:jc w:val="left"/>
      </w:pPr>
      <w:r>
        <w:rPr>
          <w:rFonts w:ascii="楷体_GB2312" w:hAnsi="楷体_GB2312" w:eastAsia="楷体_GB2312"/>
          <w:b w:val="0"/>
          <w:color w:val="000000"/>
          <w:sz w:val="32"/>
        </w:rPr>
        <w:t>（三）供应链金融（核心建议）</w:t>
      </w:r>
    </w:p>
    <w:p>
      <w:pPr>
        <w:spacing w:lineRule="exact" w:line="600" w:before="0" w:after="0"/>
        <w:ind w:firstLine="420"/>
        <w:jc w:val="both"/>
      </w:pPr>
      <w:r>
        <w:rPr>
          <w:rFonts w:ascii="仿宋_GB2312" w:hAnsi="仿宋_GB2312" w:eastAsia="仿宋_GB2312"/>
          <w:b w:val="0"/>
          <w:color w:val="000000"/>
          <w:sz w:val="32"/>
        </w:rPr>
        <w:t>这是与山东临工协同价值最高的业务方向。公司周边聚集300余家上下游配套企业，多为中小民营企业，融资难、成本高，而它们对山东临工的应收账款质量优良。</w:t>
      </w:r>
    </w:p>
    <w:p>
      <w:pPr>
        <w:spacing w:lineRule="exact" w:line="600" w:before="0" w:after="0"/>
        <w:ind w:firstLine="420"/>
        <w:jc w:val="both"/>
      </w:pPr>
      <w:r>
        <w:rPr>
          <w:rFonts w:ascii="仿宋_GB2312" w:hAnsi="仿宋_GB2312" w:eastAsia="仿宋_GB2312"/>
          <w:b w:val="0"/>
          <w:color w:val="000000"/>
          <w:sz w:val="32"/>
        </w:rPr>
        <w:t>建议以山东临工的付款确权为核心，搭建反向保理（或电子债权凭证）平台：由山东临工在平台上对其应付账款进行确权并签发凭证，上游供应商持凭证向山东投资申请融资，到期由山东临工统一付款。该模式风险实质上转化为对山东临工的核心企业信用风险，可实现“一次授信、批量放款”，既服务了集群中小企业，又高效获客、分散风险。建议初期核定核心企业授信额度3亿—5亿元，单笔期限不超过6个月，并与临沂沂河新区管委会的融链固链专项行动对接，争取政策贴息支持。</w:t>
      </w:r>
    </w:p>
    <w:p>
      <w:pPr>
        <w:spacing w:lineRule="exact" w:line="600" w:before="0" w:after="0"/>
        <w:ind w:firstLine="420"/>
        <w:jc w:val="both"/>
      </w:pPr>
      <w:r>
        <w:rPr>
          <w:rFonts w:ascii="仿宋_GB2312" w:hAnsi="仿宋_GB2312" w:eastAsia="仿宋_GB2312"/>
          <w:b w:val="0"/>
          <w:color w:val="000000"/>
          <w:sz w:val="32"/>
        </w:rPr>
        <w:t>在下游，可为公司代理商提供采购融资（经销商融资），以整机货权质押加公司回购承诺为增信，支持代理商备货，扩大公司销量，实现产融协同。</w:t>
      </w:r>
    </w:p>
    <w:p>
      <w:pPr>
        <w:spacing w:lineRule="exact" w:line="600" w:before="120" w:after="120"/>
        <w:ind w:firstLine="420"/>
        <w:jc w:val="left"/>
      </w:pPr>
      <w:r>
        <w:rPr>
          <w:rFonts w:ascii="楷体_GB2312" w:hAnsi="楷体_GB2312" w:eastAsia="楷体_GB2312"/>
          <w:b w:val="0"/>
          <w:color w:val="000000"/>
          <w:sz w:val="32"/>
        </w:rPr>
        <w:t>（四）融资租赁（业务空间最大）</w:t>
      </w:r>
    </w:p>
    <w:p>
      <w:pPr>
        <w:spacing w:lineRule="exact" w:line="600" w:before="0" w:after="0"/>
        <w:ind w:firstLine="420"/>
        <w:jc w:val="both"/>
      </w:pPr>
      <w:r>
        <w:rPr>
          <w:rFonts w:ascii="仿宋_GB2312" w:hAnsi="仿宋_GB2312" w:eastAsia="仿宋_GB2312"/>
          <w:b w:val="0"/>
          <w:color w:val="000000"/>
          <w:sz w:val="32"/>
        </w:rPr>
        <w:t>工程机械是融资租赁渗透率最高的行业之一，终端客户购机普遍采用融资租赁或按揭方式。建议开展两个层次的业务：</w:t>
      </w:r>
    </w:p>
    <w:p>
      <w:pPr>
        <w:spacing w:lineRule="exact" w:line="600" w:before="0" w:after="0"/>
        <w:ind w:firstLine="420"/>
        <w:jc w:val="both"/>
      </w:pPr>
      <w:r>
        <w:rPr>
          <w:rFonts w:ascii="仿宋_GB2312" w:hAnsi="仿宋_GB2312" w:eastAsia="仿宋_GB2312"/>
          <w:b w:val="0"/>
          <w:color w:val="000000"/>
          <w:sz w:val="32"/>
        </w:rPr>
        <w:t>一是终端设备融资租赁（直租/售后回租）。面向购买山东临工装载机、挖掘机、道路机械的施工企业、矿山企业与个体机主，提供设备融资租赁服务，首付比例20%—30%，租期2—3年，以设备抵押加厂商回购承诺为风控核心。这是与公司销售直接绑定的业务，规模可观且自偿性强。尤其应重点支持电动装载机的推广——电动设备购置成本高于燃油设备但运行成本低，融资租赁能有效降低客户初始投入门槛，公司电动化渗透率目标（2025年25%）将带来大量租赁需求。</w:t>
      </w:r>
    </w:p>
    <w:p>
      <w:pPr>
        <w:spacing w:lineRule="exact" w:line="600" w:before="0" w:after="0"/>
        <w:ind w:firstLine="420"/>
        <w:jc w:val="both"/>
      </w:pPr>
      <w:r>
        <w:rPr>
          <w:rFonts w:ascii="仿宋_GB2312" w:hAnsi="仿宋_GB2312" w:eastAsia="仿宋_GB2312"/>
          <w:b w:val="0"/>
          <w:color w:val="000000"/>
          <w:sz w:val="32"/>
        </w:rPr>
        <w:t>二是公司自身生产设备的售后回租。公司拥有大量数控加工中心、焊接机器人、涂装线等生产设备，可通过售后回租盘活存量资产、补充流动资金，尤其在股权变更后的整合期，此类业务需求可能上升。</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贷产品不适用于公司本体，但可精准服务于两类群体：一是集群内的小微配套企业，以其对山东临工的供货数据为增信，发放100万—500万元的短期流动资金贷款；二是购买临工设备的个体机主，提供小额购机首付贷或运营周转贷，单户10万—50万元，以设备GPS定位与远程锁机（公司已具备38万台设备的远程监控能力）作为风控手段，这一技术条件使小额机主贷的风控可行性大幅提升。</w:t>
      </w:r>
    </w:p>
    <w:p>
      <w:pPr>
        <w:spacing w:lineRule="exact" w:line="600" w:before="120" w:after="120"/>
        <w:ind w:firstLine="420"/>
        <w:jc w:val="left"/>
      </w:pPr>
      <w:r>
        <w:rPr>
          <w:rFonts w:ascii="楷体_GB2312" w:hAnsi="楷体_GB2312" w:eastAsia="楷体_GB2312"/>
          <w:b w:val="0"/>
          <w:color w:val="000000"/>
          <w:sz w:val="32"/>
        </w:rPr>
        <w:t>（六）授信风控要点</w:t>
      </w:r>
    </w:p>
    <w:p>
      <w:pPr>
        <w:spacing w:lineRule="exact" w:line="600" w:before="0" w:after="0"/>
        <w:ind w:firstLine="420"/>
        <w:jc w:val="both"/>
      </w:pPr>
      <w:r>
        <w:rPr>
          <w:rFonts w:ascii="仿宋_GB2312" w:hAnsi="仿宋_GB2312" w:eastAsia="仿宋_GB2312"/>
          <w:b w:val="0"/>
          <w:color w:val="000000"/>
          <w:sz w:val="32"/>
        </w:rPr>
        <w:t>一是重点核查2025年8月股权变更的交易结构，包括收购对价、资金来源、是否存在杠杆收购及标的公司担保安排；二是核查股权出质4条、动产抵押的具体内容与被担保债务；三是核查（2025）京0112民初32548号最高额抵押权纠纷的案情与潜在影响；四是要求提供近三年经审计财务报表，重点关注按揭销售回购担保等或有负债规模；五是核实沃尔沃退出后的技术授权、品牌使用与供应链协议安排；六是跟踪装载机、挖掘机市占率与行业销量数据的月度变化。</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临工是临沂经开区工程机械集群当之无愧的链主，也是中国工程机械行业的头部企业之一。其核心优势极为突出：装载机市占率27%行业第一、挖掘机市占率10%全国第三；拥有全国质量奖、亚洲质量卓越奖、欧洲质量奖“三奖”；全球130余个国家和地区的渠道网络与2座海外工厂；国家级企业技术中心、国家级知识产权示范企业、制造业单项冠军示范企业等顶级资质；注册资本15.36亿元且全额实缴；参保员工3518人；电动化转型走在行业前列。</w:t>
      </w:r>
    </w:p>
    <w:p>
      <w:pPr>
        <w:spacing w:lineRule="exact" w:line="600" w:before="0" w:after="0"/>
        <w:ind w:firstLine="420"/>
        <w:jc w:val="both"/>
      </w:pPr>
      <w:r>
        <w:rPr>
          <w:rFonts w:ascii="仿宋_GB2312" w:hAnsi="仿宋_GB2312" w:eastAsia="仿宋_GB2312"/>
          <w:b w:val="0"/>
          <w:color w:val="000000"/>
          <w:sz w:val="32"/>
        </w:rPr>
        <w:t>同时，公司正处于历史性的转折关口：2025年8月沃尔沃系股东全部退出，由私募基金主导的上海鼎迦临持股70%，管理层持股平台主导的临工机械集团持股30%。这一变更既带来自主决策空间的释放，也带来技术、渠道、供应链协同的不确定性，以及潜在的杠杆收购债务压力。综合评价为“行业地位领先、基本面扎实、但正处重大股权变更整合期”的头部制造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公开表述的战略规划，未来将围绕“生态化、电动化、国际化、数智化”四大方向推进：生态化上注重环境保护与可持续发展，拓展与上下游的产业链合作；电动化上推动电动装载机渗透率从2023年3.5%提升至2025年预期的25%；国际化上持续拓展全球业务、提升海外市场营收占比；数智化上实现工业装备数字化、工业网络全连接、工业软件云化和工业数据价值化。</w:t>
      </w:r>
    </w:p>
    <w:p>
      <w:pPr>
        <w:spacing w:lineRule="exact" w:line="600" w:before="0" w:after="0"/>
        <w:ind w:firstLine="420"/>
        <w:jc w:val="both"/>
      </w:pPr>
      <w:r>
        <w:rPr>
          <w:rFonts w:ascii="仿宋_GB2312" w:hAnsi="仿宋_GB2312" w:eastAsia="仿宋_GB2312"/>
          <w:b w:val="0"/>
          <w:color w:val="000000"/>
          <w:sz w:val="32"/>
        </w:rPr>
        <w:t>结合行业趋势判断，公司的成长路径有三：一是海外替代，在国内需求下行背景下，通过巴西、非洲、东南亚、中东等新兴市场的本地化布局获取增量；二是电动化换道，在装载机电动化这一公司优势品类上确立先发地位；三是后市场深耕，依托38万余台在售设备的存量基础，发展配件、维修、租赁、二手机等后市场业务，平抑整机周期波动。</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沃尔沃退出后的技术、品牌、渠道自主化能力建设；二是国内工程机械行业下行周期的持续时间；三是新控股股东的战略意图与整合安排的不确定性；四是海外市场地缘政治与贸易壁垒风险；五是电动化技术路线与成本下降节奏的不确定性；六是与三一、徐工、柳工等对手的全方位竞争。</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结论：该企业是本批次乃至山东省内工程机械领域最具价值的核心企业客户之一，基本面扎实、行业地位稳固、与山东投资各类业务的契合度极高。但2025年股权重大变更带来的不确定性需要审慎评估。</w:t>
      </w:r>
    </w:p>
    <w:p>
      <w:pPr>
        <w:spacing w:lineRule="exact" w:line="600" w:before="0" w:after="0"/>
        <w:ind w:firstLine="420"/>
        <w:jc w:val="both"/>
      </w:pPr>
      <w:r>
        <w:rPr>
          <w:rFonts w:ascii="仿宋_GB2312" w:hAnsi="仿宋_GB2312" w:eastAsia="仿宋_GB2312"/>
          <w:b w:val="0"/>
          <w:color w:val="000000"/>
          <w:sz w:val="32"/>
        </w:rPr>
        <w:t>建议：一是立即启动战略级客户对接，以反向保理供应链金融平台为切入点，一次性开发其300余家上游配套企业，这是投入产出比最高的业务模式；二是同步布局终端设备融资租赁，与公司销售体系深度绑定，重点支持电动装载机推广；三是针对其海外应收账款开展出口保理，契合40余亿元出口收入规模；四是将2025年股权变更的整合进展、沃尔沃技术授权延续情况、装载机月度市占率数据作为核心监测指标，建立季度回访机制；五是密切跟进临沂沂河新区的融链固链专项行动，争取地方政府在风险补偿、贴息方面的政策配套。</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山东临工工程机械有限公司官网（www.sdlg.cn）：企业简介、荣誉资质、新闻中心栏目。</w:t>
      </w:r>
    </w:p>
    <w:p>
      <w:pPr>
        <w:spacing w:lineRule="exact" w:line="600" w:before="0" w:after="0"/>
        <w:jc w:val="left"/>
      </w:pPr>
      <w:r>
        <w:rPr>
          <w:rFonts w:ascii="仿宋_GB2312" w:hAnsi="仿宋_GB2312" w:eastAsia="仿宋_GB2312"/>
          <w:b w:val="0"/>
          <w:color w:val="000000"/>
          <w:sz w:val="28"/>
        </w:rPr>
        <w:t>2. 天眼查：山东临工工程机械有限公司企业基础信息与股权穿透信息（统一社会信用代码91371300757484684H）。</w:t>
      </w:r>
    </w:p>
    <w:p>
      <w:pPr>
        <w:spacing w:lineRule="exact" w:line="600" w:before="0" w:after="0"/>
        <w:jc w:val="left"/>
      </w:pPr>
      <w:r>
        <w:rPr>
          <w:rFonts w:ascii="仿宋_GB2312" w:hAnsi="仿宋_GB2312" w:eastAsia="仿宋_GB2312"/>
          <w:b w:val="0"/>
          <w:color w:val="000000"/>
          <w:sz w:val="28"/>
        </w:rPr>
        <w:t>3. 企查查：山东临工工程机械有限公司工商信息、股东信息、变更记录（2025年8月29日投资人变更）、司法与招投标信息。</w:t>
      </w:r>
    </w:p>
    <w:p>
      <w:pPr>
        <w:spacing w:lineRule="exact" w:line="600" w:before="0" w:after="0"/>
        <w:jc w:val="left"/>
      </w:pPr>
      <w:r>
        <w:rPr>
          <w:rFonts w:ascii="仿宋_GB2312" w:hAnsi="仿宋_GB2312" w:eastAsia="仿宋_GB2312"/>
          <w:b w:val="0"/>
          <w:color w:val="000000"/>
          <w:sz w:val="28"/>
        </w:rPr>
        <w:t>4. 爱企查、水滴信用：山东临工工程机械有限公司企业简介、参保人数、风险信息。</w:t>
      </w:r>
    </w:p>
    <w:p>
      <w:pPr>
        <w:spacing w:lineRule="exact" w:line="600" w:before="0" w:after="0"/>
        <w:jc w:val="left"/>
      </w:pPr>
      <w:r>
        <w:rPr>
          <w:rFonts w:ascii="仿宋_GB2312" w:hAnsi="仿宋_GB2312" w:eastAsia="仿宋_GB2312"/>
          <w:b w:val="0"/>
          <w:color w:val="000000"/>
          <w:sz w:val="28"/>
        </w:rPr>
        <w:t>5. e-works：《山东临工的全球化远征》（2025年腾讯全球数字生态大会青岛峰会，信息技术研究院院长王鹏演讲）。</w:t>
      </w:r>
    </w:p>
    <w:p>
      <w:pPr>
        <w:spacing w:lineRule="exact" w:line="600" w:before="0" w:after="0"/>
        <w:jc w:val="left"/>
      </w:pPr>
      <w:r>
        <w:rPr>
          <w:rFonts w:ascii="仿宋_GB2312" w:hAnsi="仿宋_GB2312" w:eastAsia="仿宋_GB2312"/>
          <w:b w:val="0"/>
          <w:color w:val="000000"/>
          <w:sz w:val="28"/>
        </w:rPr>
        <w:t>6. 新浪财经：《闪电评论｜看山东工程机械，如何“链”造一身钢筋铁骨》。</w:t>
      </w:r>
    </w:p>
    <w:p>
      <w:pPr>
        <w:spacing w:lineRule="exact" w:line="600" w:before="0" w:after="0"/>
        <w:jc w:val="left"/>
      </w:pPr>
      <w:r>
        <w:rPr>
          <w:rFonts w:ascii="仿宋_GB2312" w:hAnsi="仿宋_GB2312" w:eastAsia="仿宋_GB2312"/>
          <w:b w:val="0"/>
          <w:color w:val="000000"/>
          <w:sz w:val="28"/>
        </w:rPr>
        <w:t>7. 临沂市人民政府门户网站：《沂河新区：解锁外贸增长新密码》（含山东临工国际营销公司副总经理张帅、战略规划本部部长冯超相关表述）。</w:t>
      </w:r>
    </w:p>
    <w:p>
      <w:pPr>
        <w:spacing w:lineRule="exact" w:line="600" w:before="0" w:after="0"/>
        <w:jc w:val="left"/>
      </w:pPr>
      <w:r>
        <w:rPr>
          <w:rFonts w:ascii="仿宋_GB2312" w:hAnsi="仿宋_GB2312" w:eastAsia="仿宋_GB2312"/>
          <w:b w:val="0"/>
          <w:color w:val="000000"/>
          <w:sz w:val="28"/>
        </w:rPr>
        <w:t>8. 本报告未使用任何未经公开披露的财务数据；公司完整财务报表未公开披露，已在正文中如实标注。相关司法与风险信息仅引述第三方商业查询平台公开展示内容，以权威平台查询结果为准。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