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山东临沂费县（绿色家居材料）特色产业集群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山东朝泰实业有限公司企业分析报告</w:t>
      </w:r>
    </w:p>
    <w:p>
      <w:pPr>
        <w:spacing w:lineRule="exact" w:line="600" w:before="0" w:after="0"/>
        <w:jc w:val="left"/>
      </w:pPr>
      <w:r>
        <w:rPr>
          <w:rFonts w:ascii="仿宋_GB2312" w:hAnsi="仿宋_GB2312" w:eastAsia="仿宋_GB2312"/>
          <w:b w:val="0"/>
          <w:color w:val="000000"/>
          <w:sz w:val="28"/>
        </w:rPr>
        <w:t>（本报告数据来源于山东朝泰实业有限公司公开工商信息、企业官网（chaotaishiye.com）、天眼查/水滴信用/企查查等公开渠道。该公司为非上市民营企业，财务数据未公开披露，相关部分已如实标注。）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山东朝泰实业有限公司成立于2019年9月10日，法定代表人为卢孔民。统一社会信用代码91371312MA3QJLNP8R，企业类型为有限责任公司（自然人投资或控股）。注册资本10000万元人民币，实缴资本7680万元。</w:t>
      </w:r>
    </w:p>
    <w:p>
      <w:pPr>
        <w:spacing w:lineRule="exact" w:line="600" w:before="0" w:after="0"/>
        <w:ind w:firstLine="420"/>
        <w:jc w:val="both"/>
      </w:pPr>
      <w:r>
        <w:rPr>
          <w:rFonts w:ascii="仿宋_GB2312" w:hAnsi="仿宋_GB2312" w:eastAsia="仿宋_GB2312"/>
          <w:b w:val="0"/>
          <w:color w:val="000000"/>
          <w:sz w:val="32"/>
        </w:rPr>
        <w:t>注册地址为山东省临沂市费县探沂镇石行村国家林产工业科技示范园16—17号，登记机关为费县市场监督管理局。经营范围为新型装饰材料技术开发，生产销售塑料制品、地板、护墙板、PVC装饰材料、异形条、亚克力，销售五金、家居配件、胶黏剂、建筑材料及货物技术进出口。</w:t>
      </w:r>
    </w:p>
    <w:p>
      <w:pPr>
        <w:spacing w:lineRule="exact" w:line="600" w:before="0" w:after="0"/>
        <w:ind w:firstLine="420"/>
        <w:jc w:val="both"/>
      </w:pPr>
      <w:r>
        <w:rPr>
          <w:rFonts w:ascii="仿宋_GB2312" w:hAnsi="仿宋_GB2312" w:eastAsia="仿宋_GB2312"/>
          <w:b w:val="0"/>
          <w:color w:val="000000"/>
          <w:sz w:val="32"/>
        </w:rPr>
        <w:t>股权结构：股东卢孔民持股76%、王金刚持股24%，卢孔民为实际控制人。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公司设执行董事兼总经理（卢孔民）、监事（王金刚），对外投资荆门昌泰新材料、温州启鲁新材料等，形成集团化布局（朝泰集团）。主营家居配套封边材料的研发、生产、销售。</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朝泰集团2013年成立于浙江杭州，2016年在山东成立临沂市朝泰实业有限公司，2019年组建山东朝泰实业有限公司，2024年成立德清朝泰装饰材料有限公司拓展外贸。公司拥有国内封边行业最大的工业4.0智能生产基地、六条智能生产线，获国家高新技术企业、山东省创新型中小企业、山东省专精特新中小企业等资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战略定位：聚焦家居配套封边领域，提供高端封边解决方案。主营业务为PVC/亚克力/MABS/ABS封边条等装饰封边材料的研发、生产、销售，产品用于家具、办公、厨具等。</w:t>
      </w:r>
    </w:p>
    <w:p>
      <w:pPr>
        <w:spacing w:lineRule="exact" w:line="600" w:before="0" w:after="0"/>
        <w:ind w:firstLine="420"/>
        <w:jc w:val="both"/>
      </w:pPr>
      <w:r>
        <w:rPr>
          <w:rFonts w:ascii="仿宋_GB2312" w:hAnsi="仿宋_GB2312" w:eastAsia="仿宋_GB2312"/>
          <w:b w:val="0"/>
          <w:color w:val="000000"/>
          <w:sz w:val="32"/>
        </w:rPr>
        <w:t>核心产品：PVC封边条（0.3—3mm厚、12—80mm宽）、亚克力封边条、MABS封边条、ABS封边条，符合IKEA、EN71-3、RoHS、REACH、ASTM等欧美环保标准。</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业务以封边条等家居配套材料制造销售为主，辅以外贸。具体收入构成未公开披露（非上市），已如实标注。公司服务全国5000余家客户，产品出口俄罗斯、白俄罗斯、格鲁吉亚、南非、越南等10多个国家和地区。</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PVC、亚克力、MABS、ABS封边条及异形条；高端定制封边解决方案；与国内板材头部品牌及定制家居品牌建立战略合作。</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下游为板材企业与定制家居品牌，服务全国5000余家客户，并与国内板材行业头部品牌及定制家居品牌深度合作。具体前五大客户未公开披露。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生产所需PVC/ABS原料、助剂等由合格供应商保障，具体前五大供应商未公开披露。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工业4.0智能生产基地、六条智能生产线，获ISO9001/14001/45001体系认证、国家高新技术企业、山东省创新型与专精特新中小企业等资质，专利20余项（含木皮纸涂覆、自粘封边条等发明专利），中标鲁丽家居等年度项目。</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采取“国内经销商+直供板材/定制品牌+外贸出口”模式，产品出口10余国，参加墨西哥瓜达拉哈拉世博会、临沂全屋定制展等拓展市场。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公司参保约72—77人，具体营业收入与市占率未公开披露，已如实标注。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山东朝泰实业有限公司为非上市民营企业，近三年营业收入、净利润、资产负债率、经营现金流净额均未公开披露，本报告中不予编造。注册资本10000万元、实缴7680万元。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盈利指标未披露。公司封边条业务规模与出口并重，盈利依赖产销规模与产品结构。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资产结构未披露，主要为智能产线设备与厂房。</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负债与偿债指标未披露。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经营现金流未披露。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因缺乏公开财务数据，无法量化对标；可定性判断：公司为家居封边细分领域特色企业，智能化与出口具备优势。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公司为自然人控股有限责任公司，设执行董事兼总经理（卢孔民）、监事（王金刚），治理结构简约。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法定代表人、执行董事兼总经理卢孔民；监事王金刚。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公司通过ISO三体系认证，建立智能产线质控体系；内控以企业自律为主。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参保约72—77人，团队以研发、生产与外贸为主，注重智能制造人才。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一是工艺与设备壁垒：工业4.0智能生产基地、六条智能线，自动化与一致性领先。</w:t>
      </w:r>
    </w:p>
    <w:p>
      <w:pPr>
        <w:spacing w:lineRule="exact" w:line="600" w:before="0" w:after="0"/>
        <w:ind w:firstLine="420"/>
        <w:jc w:val="both"/>
      </w:pPr>
      <w:r>
        <w:rPr>
          <w:rFonts w:ascii="仿宋_GB2312" w:hAnsi="仿宋_GB2312" w:eastAsia="仿宋_GB2312"/>
          <w:b w:val="0"/>
          <w:color w:val="000000"/>
          <w:sz w:val="32"/>
        </w:rPr>
        <w:t>二是产品与认证壁垒：多材质封边条+欧美环保标准（IKEA/RoHS/REACH），出口门槛高。</w:t>
      </w:r>
    </w:p>
    <w:p>
      <w:pPr>
        <w:spacing w:lineRule="exact" w:line="600" w:before="0" w:after="0"/>
        <w:ind w:firstLine="420"/>
        <w:jc w:val="both"/>
      </w:pPr>
      <w:r>
        <w:rPr>
          <w:rFonts w:ascii="仿宋_GB2312" w:hAnsi="仿宋_GB2312" w:eastAsia="仿宋_GB2312"/>
          <w:b w:val="0"/>
          <w:color w:val="000000"/>
          <w:sz w:val="32"/>
        </w:rPr>
        <w:t>三是客户壁垒：服务5000余家客户、与板材头部及定制品牌战略合作，黏性强。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行业风险：家居建材周期下行影响封边需求；原料（PVC/ABS）价格波动。</w:t>
      </w:r>
    </w:p>
    <w:p>
      <w:pPr>
        <w:spacing w:lineRule="exact" w:line="600" w:before="0" w:after="0"/>
        <w:ind w:firstLine="420"/>
        <w:jc w:val="both"/>
      </w:pPr>
      <w:r>
        <w:rPr>
          <w:rFonts w:ascii="仿宋_GB2312" w:hAnsi="仿宋_GB2312" w:eastAsia="仿宋_GB2312"/>
          <w:b w:val="0"/>
          <w:color w:val="000000"/>
          <w:sz w:val="32"/>
        </w:rPr>
        <w:t>经营风险：产品集中于封边条，单一品类波动影响大；出口受贸易政策影响。</w:t>
      </w:r>
    </w:p>
    <w:p>
      <w:pPr>
        <w:spacing w:lineRule="exact" w:line="600" w:before="0" w:after="0"/>
        <w:ind w:firstLine="420"/>
        <w:jc w:val="both"/>
      </w:pPr>
      <w:r>
        <w:rPr>
          <w:rFonts w:ascii="仿宋_GB2312" w:hAnsi="仿宋_GB2312" w:eastAsia="仿宋_GB2312"/>
          <w:b w:val="0"/>
          <w:color w:val="000000"/>
          <w:sz w:val="32"/>
        </w:rPr>
        <w:t>财务风险：非上市企业财务透明度低，融资依赖股东与银行。</w:t>
      </w:r>
    </w:p>
    <w:p>
      <w:pPr>
        <w:spacing w:lineRule="exact" w:line="600" w:before="0" w:after="0"/>
        <w:ind w:firstLine="420"/>
        <w:jc w:val="both"/>
      </w:pPr>
      <w:r>
        <w:rPr>
          <w:rFonts w:ascii="仿宋_GB2312" w:hAnsi="仿宋_GB2312" w:eastAsia="仿宋_GB2312"/>
          <w:b w:val="0"/>
          <w:color w:val="000000"/>
          <w:sz w:val="32"/>
        </w:rPr>
        <w:t>应对措施：拓展多材质与高端定制，深化与定制品牌合作，稳健出海。</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保理业务：下游应收账款可开展保理。</w:t>
      </w:r>
    </w:p>
    <w:p>
      <w:pPr>
        <w:spacing w:lineRule="exact" w:line="600" w:before="0" w:after="0"/>
        <w:ind w:firstLine="420"/>
        <w:jc w:val="both"/>
      </w:pPr>
      <w:r>
        <w:rPr>
          <w:rFonts w:ascii="仿宋_GB2312" w:hAnsi="仿宋_GB2312" w:eastAsia="仿宋_GB2312"/>
          <w:b w:val="0"/>
          <w:color w:val="000000"/>
          <w:sz w:val="32"/>
        </w:rPr>
        <w:t>供应链金融：为上游原料供应商提供融资。</w:t>
      </w:r>
    </w:p>
    <w:p>
      <w:pPr>
        <w:spacing w:lineRule="exact" w:line="600" w:before="0" w:after="0"/>
        <w:ind w:firstLine="420"/>
        <w:jc w:val="both"/>
      </w:pPr>
      <w:r>
        <w:rPr>
          <w:rFonts w:ascii="仿宋_GB2312" w:hAnsi="仿宋_GB2312" w:eastAsia="仿宋_GB2312"/>
          <w:b w:val="0"/>
          <w:color w:val="000000"/>
          <w:sz w:val="32"/>
        </w:rPr>
        <w:t>融资租赁：智能产线设备升级可适用融资租赁。</w:t>
      </w:r>
    </w:p>
    <w:p>
      <w:pPr>
        <w:spacing w:lineRule="exact" w:line="600" w:before="0" w:after="0"/>
        <w:ind w:firstLine="420"/>
        <w:jc w:val="both"/>
      </w:pPr>
      <w:r>
        <w:rPr>
          <w:rFonts w:ascii="仿宋_GB2312" w:hAnsi="仿宋_GB2312" w:eastAsia="仿宋_GB2312"/>
          <w:b w:val="0"/>
          <w:color w:val="000000"/>
          <w:sz w:val="32"/>
        </w:rPr>
        <w:t>小额贷款：面向小微配套企业审慎提供，须以真实贸易与尽调为前提。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综合评价：朝泰实业是费县家居配套封边细分领域特色企业，智能化产线与出口资质突出，但品类集中、财务透明度低。</w:t>
      </w:r>
    </w:p>
    <w:p>
      <w:pPr>
        <w:spacing w:lineRule="exact" w:line="600" w:before="0" w:after="0"/>
        <w:ind w:firstLine="420"/>
        <w:jc w:val="both"/>
      </w:pPr>
      <w:r>
        <w:rPr>
          <w:rFonts w:ascii="仿宋_GB2312" w:hAnsi="仿宋_GB2312" w:eastAsia="仿宋_GB2312"/>
          <w:b w:val="0"/>
          <w:color w:val="000000"/>
          <w:sz w:val="32"/>
        </w:rPr>
        <w:t>发展展望：绿色家居与定制化发展带动封边需求，高端与出口为增长方向。</w:t>
      </w:r>
    </w:p>
    <w:p>
      <w:pPr>
        <w:spacing w:lineRule="exact" w:line="600" w:before="0" w:after="0"/>
        <w:ind w:firstLine="420"/>
        <w:jc w:val="both"/>
      </w:pPr>
      <w:r>
        <w:rPr>
          <w:rFonts w:ascii="仿宋_GB2312" w:hAnsi="仿宋_GB2312" w:eastAsia="仿宋_GB2312"/>
          <w:b w:val="0"/>
          <w:color w:val="000000"/>
          <w:sz w:val="32"/>
        </w:rPr>
        <w:t>挑战：家居周期、原料波动、融资约束。</w:t>
      </w:r>
    </w:p>
    <w:p>
      <w:pPr>
        <w:spacing w:lineRule="exact" w:line="600" w:before="0" w:after="0"/>
        <w:ind w:firstLine="420"/>
        <w:jc w:val="both"/>
      </w:pPr>
      <w:r>
        <w:rPr>
          <w:rFonts w:ascii="仿宋_GB2312" w:hAnsi="仿宋_GB2312" w:eastAsia="仿宋_GB2312"/>
          <w:b w:val="0"/>
          <w:color w:val="000000"/>
          <w:sz w:val="32"/>
        </w:rPr>
        <w:t>结论与建议：建议山东投资以设备融资租赁与供应链金融切入，依托真实贸易背景，审慎开展信用业务。</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山东朝泰实业有限公司工商信息（天眼查、水滴信用、企查查）。</w:t>
      </w:r>
    </w:p>
    <w:p>
      <w:pPr>
        <w:spacing w:lineRule="exact" w:line="600" w:before="0" w:after="0"/>
        <w:ind w:firstLine="420"/>
        <w:jc w:val="both"/>
      </w:pPr>
      <w:r>
        <w:rPr>
          <w:rFonts w:ascii="仿宋_GB2312" w:hAnsi="仿宋_GB2312" w:eastAsia="仿宋_GB2312"/>
          <w:b w:val="0"/>
          <w:color w:val="000000"/>
          <w:sz w:val="32"/>
        </w:rPr>
        <w:t>2. 朝泰实业官网（chaotaishiye.com）企业简介与产品介绍。</w:t>
      </w:r>
    </w:p>
    <w:p>
      <w:pPr>
        <w:spacing w:lineRule="exact" w:line="600" w:before="0" w:after="0"/>
        <w:ind w:firstLine="420"/>
        <w:jc w:val="both"/>
      </w:pPr>
      <w:r>
        <w:rPr>
          <w:rFonts w:ascii="仿宋_GB2312" w:hAnsi="仿宋_GB2312" w:eastAsia="仿宋_GB2312"/>
          <w:b w:val="0"/>
          <w:color w:val="000000"/>
          <w:sz w:val="32"/>
        </w:rPr>
        <w:t>3. CNPP品牌库及公开中标信息（鲁丽家居等）。</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