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山东临沂费县（绿色家居材料）特色产业集群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泰森日盛集团有限公司企业分析报告</w:t>
      </w:r>
    </w:p>
    <w:p>
      <w:pPr>
        <w:spacing w:lineRule="exact" w:line="600" w:before="0" w:after="0"/>
        <w:jc w:val="left"/>
      </w:pPr>
      <w:r>
        <w:rPr>
          <w:rFonts w:ascii="仿宋_GB2312" w:hAnsi="仿宋_GB2312" w:eastAsia="仿宋_GB2312"/>
          <w:b w:val="0"/>
          <w:color w:val="000000"/>
          <w:sz w:val="28"/>
        </w:rPr>
        <w:t>（本报告数据来源于泰森日盛集团有限公司公开工商信息、临沂市科技局/临沂城投集团公开资料、天眼查/水滴信用等公开渠道。该公司为国有控股混合所有制企业（临沂产业控股集团持股44.51%），财务数据未公开披露，相关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泰森日盛集团有限公司成立于2017年8月17日，法定代表人为蔡西杰。统一社会信用代码91371325MA3FE3BJ6R，企业类型为其他有限责任公司。注册资本29282.2242万元人民币。</w:t>
      </w:r>
    </w:p>
    <w:p>
      <w:pPr>
        <w:spacing w:lineRule="exact" w:line="600" w:before="0" w:after="0"/>
        <w:ind w:firstLine="420"/>
        <w:jc w:val="both"/>
      </w:pPr>
      <w:r>
        <w:rPr>
          <w:rFonts w:ascii="仿宋_GB2312" w:hAnsi="仿宋_GB2312" w:eastAsia="仿宋_GB2312"/>
          <w:b w:val="0"/>
          <w:color w:val="000000"/>
          <w:sz w:val="32"/>
        </w:rPr>
        <w:t>注册地址为山东省临沂市费县探沂镇石行村日盛路与光明路交汇处西南角（另有创业路18号总部地址披露）。经营范围涵盖家具制造与销售、家具零配件、门窗、卫生洁具、家居用品、地板、轻质建筑材料、软件开发、货物与技术进出口、住房租赁及建设工程施工等。</w:t>
      </w:r>
    </w:p>
    <w:p>
      <w:pPr>
        <w:spacing w:lineRule="exact" w:line="600" w:before="0" w:after="0"/>
        <w:ind w:firstLine="420"/>
        <w:jc w:val="both"/>
      </w:pPr>
      <w:r>
        <w:rPr>
          <w:rFonts w:ascii="仿宋_GB2312" w:hAnsi="仿宋_GB2312" w:eastAsia="仿宋_GB2312"/>
          <w:b w:val="0"/>
          <w:color w:val="000000"/>
          <w:sz w:val="32"/>
        </w:rPr>
        <w:t>股权结构：临沂产业控股集团有限公司持股44.5118%（其股东为临沂城市建设投资集团有限公司，系临沂市属国资），山东泰森日利木业有限公司持股42.5765%（蔡西杰持股60%等），张路璐持股9.6765%，青岛旭盈股权投资合伙企业（有限合伙）持股3.2353%。公司属国有控股混合所有制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任磊）、监事（周国宾）及经理层，下辖广东菲立日盛、四川明成日盛等对外投资企业，形成集团化布局。研发中心设国家CNAS认证检测实验室（1600平方米），并被认定为山东省企业技术中心、山东省一企一技术研发中心、山东省工程研究中心等。</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2017年8月，由临沂城投集团与山东泰森日利木业有限公司共同出资组建。2018年“美好家居智能制造项目”获国家工信部智能制造综合标准化新模式应用项目；2019年与央企保利集团全资子公司达成股权战略合作，开创临沂木业“国企+民企+央企”合作模式；2021年完成A轮融资。</w:t>
      </w:r>
    </w:p>
    <w:p>
      <w:pPr>
        <w:spacing w:lineRule="exact" w:line="600" w:before="0" w:after="0"/>
        <w:ind w:firstLine="420"/>
        <w:jc w:val="both"/>
      </w:pPr>
      <w:r>
        <w:rPr>
          <w:rFonts w:ascii="仿宋_GB2312" w:hAnsi="仿宋_GB2312" w:eastAsia="仿宋_GB2312"/>
          <w:b w:val="0"/>
          <w:color w:val="000000"/>
          <w:sz w:val="32"/>
        </w:rPr>
        <w:t>公司持续获山东省制造业单项冠军、山东省智能工厂、山东省晨星工厂、山东省服务型制造示范企业、沂蒙新动能领军企业等称号；2024年“智木云—木业工业互联网平台”获山东省“工赋百景”揭榜挂帅试点。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战略定位：推动木业产业转型升级，打造全屋定制、整装、精装等核心业务，建设现代化家居产品集团。主营业务为木门、橱柜、衣柜、收纳等全屋定制家居产品的研发、设计、制造、销售及工程服务。</w:t>
      </w:r>
    </w:p>
    <w:p>
      <w:pPr>
        <w:spacing w:lineRule="exact" w:line="600" w:before="0" w:after="0"/>
        <w:ind w:firstLine="420"/>
        <w:jc w:val="both"/>
      </w:pPr>
      <w:r>
        <w:rPr>
          <w:rFonts w:ascii="仿宋_GB2312" w:hAnsi="仿宋_GB2312" w:eastAsia="仿宋_GB2312"/>
          <w:b w:val="0"/>
          <w:color w:val="000000"/>
          <w:sz w:val="32"/>
        </w:rPr>
        <w:t>核心产品：木门、橱柜、衣柜、收纳柜等全屋定制家居，并提供设计、工程管理、施工安装全生命周期服务；业务涵盖全屋定制、整装、精装、劳务、医养、公寓、金融等板块。</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业务以全屋定制家居（木门、橱柜、衣柜、收纳）为主，辅以工程精装与施工服务。具体收入构成未公开披露（非上市），已如实标注。公司是国内产业链条最完整的全屋家居定制企业之一。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木门、橱柜、衣柜、收纳等定制家居产品；全屋定制、整装、精装设计与施工；医养、公寓、金融等延伸服务。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公司为保利、万科、龙湖、华润、融创等30余家国内前百强地产龙头企业战略合作伙伴与集采中心，客户以头部房企为主，订单与集采规模大。具体前五大客户未公开披露。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生产所需板材、五金、饰面材料等由合格供应链保障，具体前五大供应商未公开披露。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400余亩，布局华东、华北、华南、西南四大生产基地，厂房占地面积超100万平方米（不同口径），设北京、上海、广州、深圳等10大营销技术服务中心。拥有国家CNAS认证检测实验室、山东省企业技术中心，申请专利134项，商标59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采取“房企集采+工程精装+零售定制”模式，依托与头部房企战略合作获取大单；布局全国四大基地与十大营销中心，产品远销美、英、法等50多个国家和地区。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公司员工规模公开口径有超700人、超2300人等不同披露（含基地与外包），参保约420人。具体营业收入、产量与市占率未公开披露，已如实标注。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泰森日盛集团有限公司为非上市国有控股混合所有制企业，近三年营业收入、净利润、资产负债率、经营现金流净额均未公开披露，本报告中不予编造。</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盈利指标未披露。公司与头部房企深度绑定，工程定制业务规模大，但受房地产周期影响明显。</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资产结构未披露，主要包括生产基地厂房设备、土地与品牌。</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负债与偿债指标未披露。国有控股背景有助于融资，但需关注房企客户回款风险。</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经营现金流未披露，回款节奏受房企客户结算影响。</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因缺乏公开财务数据，无法量化对标；可定性判断：公司规模与产业链完整性在临沂木业居前列，但地产周期关联度高。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公司为国有控股混合所有制企业，设股东会、董事会（董事长任磊）、监事会（周国宾）及经理层。国资股东临沂产业控股集团（临沂城投集团）履行出资人职责，在重大战略与投资中发挥作用。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董事长任磊；法定代表人蔡西杰；核心管理团队来自国资股东委派与民营股东方，体现混合所有制治理特征。</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公司落实党组织“把方向、管大局、保落实”作用，严格执行“三重一大”决策制度（重大决策、重要人事任免、重大项目安排和大额资金运作须经集体决策）；建立内控与审计体系，接受国资监管。</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公司参保约420人（工商口径），员工总数口径不一（含基地与外包超千人）。注重研发与智能制造人才，依托国家CNAS实验室与省级研发中心培养技术队伍。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一是股东与资本壁垒：国有控股+央企保利+民营制造“国企+民企+央企”混合模式，资本与信用优势突出。</w:t>
      </w:r>
    </w:p>
    <w:p>
      <w:pPr>
        <w:spacing w:lineRule="exact" w:line="600" w:before="0" w:after="0"/>
        <w:ind w:firstLine="420"/>
        <w:jc w:val="both"/>
      </w:pPr>
      <w:r>
        <w:rPr>
          <w:rFonts w:ascii="仿宋_GB2312" w:hAnsi="仿宋_GB2312" w:eastAsia="仿宋_GB2312"/>
          <w:b w:val="0"/>
          <w:color w:val="000000"/>
          <w:sz w:val="32"/>
        </w:rPr>
        <w:t>二是客户壁垒：与保利、万科等30余家百强房企战略合作与集采，订单规模与粘性高。</w:t>
      </w:r>
    </w:p>
    <w:p>
      <w:pPr>
        <w:spacing w:lineRule="exact" w:line="600" w:before="0" w:after="0"/>
        <w:ind w:firstLine="420"/>
        <w:jc w:val="both"/>
      </w:pPr>
      <w:r>
        <w:rPr>
          <w:rFonts w:ascii="仿宋_GB2312" w:hAnsi="仿宋_GB2312" w:eastAsia="仿宋_GB2312"/>
          <w:b w:val="0"/>
          <w:color w:val="000000"/>
          <w:sz w:val="32"/>
        </w:rPr>
        <w:t>三是产业链与智造壁垒：全屋定制完整产业链、四大基地、国家CNAS实验室与智木云工业互联网平台，智能制造领先。</w:t>
      </w:r>
    </w:p>
    <w:p>
      <w:pPr>
        <w:spacing w:lineRule="exact" w:line="600" w:before="0" w:after="0"/>
        <w:ind w:firstLine="420"/>
        <w:jc w:val="both"/>
      </w:pPr>
      <w:r>
        <w:rPr>
          <w:rFonts w:ascii="仿宋_GB2312" w:hAnsi="仿宋_GB2312" w:eastAsia="仿宋_GB2312"/>
          <w:b w:val="0"/>
          <w:color w:val="000000"/>
          <w:sz w:val="32"/>
        </w:rPr>
        <w:t>四是资质与专利：山东省制造业单项冠军、智能工厂、专利134项，技术与资质壁垒明显。</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行业周期风险：业务高度依赖房地产与工程精装，地产下行将直接影响订单与回款。</w:t>
      </w:r>
    </w:p>
    <w:p>
      <w:pPr>
        <w:spacing w:lineRule="exact" w:line="600" w:before="0" w:after="0"/>
        <w:ind w:firstLine="420"/>
        <w:jc w:val="both"/>
      </w:pPr>
      <w:r>
        <w:rPr>
          <w:rFonts w:ascii="仿宋_GB2312" w:hAnsi="仿宋_GB2312" w:eastAsia="仿宋_GB2312"/>
          <w:b w:val="0"/>
          <w:color w:val="000000"/>
          <w:sz w:val="32"/>
        </w:rPr>
        <w:t>客户集中与回款风险：房企客户占比高，部分房企流动性风险可能传导至应收账款与现金流。</w:t>
      </w:r>
    </w:p>
    <w:p>
      <w:pPr>
        <w:spacing w:lineRule="exact" w:line="600" w:before="0" w:after="0"/>
        <w:ind w:firstLine="420"/>
        <w:jc w:val="both"/>
      </w:pPr>
      <w:r>
        <w:rPr>
          <w:rFonts w:ascii="仿宋_GB2312" w:hAnsi="仿宋_GB2312" w:eastAsia="仿宋_GB2312"/>
          <w:b w:val="0"/>
          <w:color w:val="000000"/>
          <w:sz w:val="32"/>
        </w:rPr>
        <w:t>经营风险：定制家居行业竞争激烈，价格与交付压力并存。</w:t>
      </w:r>
    </w:p>
    <w:p>
      <w:pPr>
        <w:spacing w:lineRule="exact" w:line="600" w:before="0" w:after="0"/>
        <w:ind w:firstLine="420"/>
        <w:jc w:val="both"/>
      </w:pPr>
      <w:r>
        <w:rPr>
          <w:rFonts w:ascii="仿宋_GB2312" w:hAnsi="仿宋_GB2312" w:eastAsia="仿宋_GB2312"/>
          <w:b w:val="0"/>
          <w:color w:val="000000"/>
          <w:sz w:val="32"/>
        </w:rPr>
        <w:t>应对措施：拓展零售与海外（出口50余国）、医养/公寓等多场景；强化客户信用与回款管理；以智能制造降本增效。</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保理业务：对房企应收账款可开展保理融资，但须严格评估房企信用并设置额度。</w:t>
      </w:r>
    </w:p>
    <w:p>
      <w:pPr>
        <w:spacing w:lineRule="exact" w:line="600" w:before="0" w:after="0"/>
        <w:ind w:firstLine="420"/>
        <w:jc w:val="both"/>
      </w:pPr>
      <w:r>
        <w:rPr>
          <w:rFonts w:ascii="仿宋_GB2312" w:hAnsi="仿宋_GB2312" w:eastAsia="仿宋_GB2312"/>
          <w:b w:val="0"/>
          <w:color w:val="000000"/>
          <w:sz w:val="32"/>
        </w:rPr>
        <w:t>供应链金融：围绕核心企业信用，为板材、五金等上游供应商提供融资，分散风险。</w:t>
      </w:r>
    </w:p>
    <w:p>
      <w:pPr>
        <w:spacing w:lineRule="exact" w:line="600" w:before="0" w:after="0"/>
        <w:ind w:firstLine="420"/>
        <w:jc w:val="both"/>
      </w:pPr>
      <w:r>
        <w:rPr>
          <w:rFonts w:ascii="仿宋_GB2312" w:hAnsi="仿宋_GB2312" w:eastAsia="仿宋_GB2312"/>
          <w:b w:val="0"/>
          <w:color w:val="000000"/>
          <w:sz w:val="32"/>
        </w:rPr>
        <w:t>融资租赁：智能产线与设备升级可适用融资租赁。</w:t>
      </w:r>
    </w:p>
    <w:p>
      <w:pPr>
        <w:spacing w:lineRule="exact" w:line="600" w:before="0" w:after="0"/>
        <w:ind w:firstLine="420"/>
        <w:jc w:val="both"/>
      </w:pPr>
      <w:r>
        <w:rPr>
          <w:rFonts w:ascii="仿宋_GB2312" w:hAnsi="仿宋_GB2312" w:eastAsia="仿宋_GB2312"/>
          <w:b w:val="0"/>
          <w:color w:val="000000"/>
          <w:sz w:val="32"/>
        </w:rPr>
        <w:t>小额贷款：面向中小配套供应商审慎提供周转贷款；国有控股背景下可优先开展确权类低风险业务。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综合评价：泰森日盛是临沂费县绿色家居龙头，国有控股混合所有制、产业链完整、智造与资质领先、头部房企绑定深，但地产周期关联度高、财务透明度低。</w:t>
      </w:r>
    </w:p>
    <w:p>
      <w:pPr>
        <w:spacing w:lineRule="exact" w:line="600" w:before="0" w:after="0"/>
        <w:ind w:firstLine="420"/>
        <w:jc w:val="both"/>
      </w:pPr>
      <w:r>
        <w:rPr>
          <w:rFonts w:ascii="仿宋_GB2312" w:hAnsi="仿宋_GB2312" w:eastAsia="仿宋_GB2312"/>
          <w:b w:val="0"/>
          <w:color w:val="000000"/>
          <w:sz w:val="32"/>
        </w:rPr>
        <w:t>发展展望：在绿色家居与智能制造趋势下，全屋定制与海外拓展具备空间；混合所有制优势有望推动集团化与资本化。</w:t>
      </w:r>
    </w:p>
    <w:p>
      <w:pPr>
        <w:spacing w:lineRule="exact" w:line="600" w:before="0" w:after="0"/>
        <w:ind w:firstLine="420"/>
        <w:jc w:val="both"/>
      </w:pPr>
      <w:r>
        <w:rPr>
          <w:rFonts w:ascii="仿宋_GB2312" w:hAnsi="仿宋_GB2312" w:eastAsia="仿宋_GB2312"/>
          <w:b w:val="0"/>
          <w:color w:val="000000"/>
          <w:sz w:val="32"/>
        </w:rPr>
        <w:t>挑战：地产周期波动、房企回款、财务披露有限。</w:t>
      </w:r>
    </w:p>
    <w:p>
      <w:pPr>
        <w:spacing w:lineRule="exact" w:line="600" w:before="0" w:after="0"/>
        <w:ind w:firstLine="420"/>
        <w:jc w:val="both"/>
      </w:pPr>
      <w:r>
        <w:rPr>
          <w:rFonts w:ascii="仿宋_GB2312" w:hAnsi="仿宋_GB2312" w:eastAsia="仿宋_GB2312"/>
          <w:b w:val="0"/>
          <w:color w:val="000000"/>
          <w:sz w:val="32"/>
        </w:rPr>
        <w:t>结论与建议：建议山东投资以供应链金融与设备融资租赁切入，依托国资股东信用开展低风险协同，对房企应收账款保理须严控额度与增信。</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泰森日盛集团有限公司工商信息（天眼查、水滴信用）。</w:t>
      </w:r>
    </w:p>
    <w:p>
      <w:pPr>
        <w:spacing w:lineRule="exact" w:line="600" w:before="0" w:after="0"/>
        <w:ind w:firstLine="420"/>
        <w:jc w:val="both"/>
      </w:pPr>
      <w:r>
        <w:rPr>
          <w:rFonts w:ascii="仿宋_GB2312" w:hAnsi="仿宋_GB2312" w:eastAsia="仿宋_GB2312"/>
          <w:b w:val="0"/>
          <w:color w:val="000000"/>
          <w:sz w:val="32"/>
        </w:rPr>
        <w:t>2. 临沂市科技局/临沂城投集团公开资料及企业官网介绍。</w:t>
      </w:r>
    </w:p>
    <w:p>
      <w:pPr>
        <w:spacing w:lineRule="exact" w:line="600" w:before="0" w:after="0"/>
        <w:ind w:firstLine="420"/>
        <w:jc w:val="both"/>
      </w:pPr>
      <w:r>
        <w:rPr>
          <w:rFonts w:ascii="仿宋_GB2312" w:hAnsi="仿宋_GB2312" w:eastAsia="仿宋_GB2312"/>
          <w:b w:val="0"/>
          <w:color w:val="000000"/>
          <w:sz w:val="32"/>
        </w:rPr>
        <w:t>3. 公开报道（国企+民企+央企合作模式、智木云平台等）。</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