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山东临清（轴承）特色产业集群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山东博特轴承有限公司企业分析报告</w:t>
      </w:r>
    </w:p>
    <w:p>
      <w:pPr>
        <w:spacing w:lineRule="exact" w:line="600" w:before="0" w:after="0"/>
        <w:jc w:val="left"/>
      </w:pPr>
      <w:r>
        <w:rPr>
          <w:rFonts w:ascii="仿宋_GB2312" w:hAnsi="仿宋_GB2312" w:eastAsia="仿宋_GB2312"/>
          <w:b w:val="0"/>
          <w:color w:val="000000"/>
          <w:sz w:val="28"/>
        </w:rPr>
        <w:t>（本报告依据公开渠道信息整理，统计时点截至最新可检索披露信息。数据主要来源于天眼查、企查查、水滴信用工商信息及公司官网、公开媒体报道。非上市企业财务数据未公开披露部分，已如实标注，未做编造。）</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博特轴承有限公司成立于2004年10月29日，法定代表人为杨庆生，统一社会信用代码为913715817677952167，企业类型为其他有限责任公司，登记机关为临清市市场监督管理局，经营状态为存续。注册地址位于山东省聊城市临清市烟店工业园，官网为www.bot-bearing.com。</w:t>
      </w:r>
    </w:p>
    <w:p>
      <w:pPr>
        <w:spacing w:lineRule="exact" w:line="600" w:before="0" w:after="0"/>
        <w:ind w:firstLine="420"/>
        <w:jc w:val="both"/>
      </w:pPr>
      <w:r>
        <w:rPr>
          <w:rFonts w:ascii="仿宋_GB2312" w:hAnsi="仿宋_GB2312" w:eastAsia="仿宋_GB2312"/>
          <w:b w:val="0"/>
          <w:color w:val="000000"/>
          <w:sz w:val="32"/>
        </w:rPr>
        <w:t>公司注册资本1,542.1288万元人民币，实缴资本1,200万元。股权结构呈现"民营+国有参股"混合所有制特征：杨庆生持股71.33%，山东财金科技投资发展中心（有限合伙）持股22.1855%，杨海博持股6.4845%。其中山东财金科技投资发展中心穿透后由山东省财金资本管理有限公司（持股99.97%）控股，属山东省属国有金融资本（山东财金投资集团体系）参股，体现地方国资对优质轴承企业的股权扶持；杨庆生为实际控制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公司为单体轴承制造企业，主营轴承及轴承配件研发、设计、生产、销售及进出口业务，下设研究院/技术部门，通过ISO9001质量体系认证。公开信息未见独立子公司披露，分支机构1家。</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2004年成立，同年通过ISO9001质量体系认证；长期专注薄壁轴承等细分品类，被公开报道称为"薄壁轴承系列国内市场占有率第一"；先后获评国家高新技术企业；引入山东省财金资本旗下基金参股，优化资本结构；2024年备案环保治理改造，推进绿色生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薄壁轴承等精密轴承专业制造商，是临清轴承集群"隐形冠军"型企业。主营业务为薄壁系列轴承、深沟球轴承、角接触轴承、圆锥滚子轴承、钢厂专用轴承及挖掘机专用轴承，设计生产各类专用轴承和非标准轴承。</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业务以轴承制造与销售为主，薄壁轴承为第一品类（公开报道称国内细分市场占有率第一），辅以深沟球、角接触、圆锥滚子及钢厂/挖掘机专用轴承。具体收入构成与金额未公开披露。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薄壁轴承（核心拳头产品）、深沟球轴承、角接触球轴承、圆锥滚子轴承、四点接触球轴承、钢厂专用轴承、挖掘机专用轴承，并承接非标定制。BOT为自主品牌。</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下游覆盖工程机械（挖掘机）、钢厂、纺织、汽车等装备制造业，客户以国内主机厂及配套商为主，部分出口。具体大客户名称未公开。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原材料为轴承钢及配件，依托临清轴承产业链就近采购；拥有进出口资质，可引进关键设备与材料。</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备轴承及配件研发、生产、销售及进出口资质，通过ISO9001体系认证。参保人数约52人，人员规模50—99人。知识产权方面公开平台显示专利及软著数量有限（部分平台显示专利0，需以最新工商年报为准），具备一定技术创新基础但专利储备弱于宇捷。</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以直销+经销结合，官网展示完整产品目录，参加临清市轴承协会年会等行业活动，品牌"BOT"在细分市场有一定知名度。</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公开报道称公司薄壁轴承系列国内市场占有率第一，但量化营收、产量数据未公开披露。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博特轴承有限公司为非上市民营企业，未公开披露近三年审计报告。工商信息显示注册资本1,542.13万元、实缴1,200万元，参保约52人。具体营收、净利润、资产负债率、经营现金流未披露，本章以定性分析为主。</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公司依托薄壁轴承细分第一的溢价能力及成本控制，预计保持合理盈利；具体毛利率未公开。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资产以生产设备、厂房、存货为主，混合所有制结构下资产质量稳健。</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公开渠道未见重大被执行、股权冻结信息。山东省财金资本参股有助于提升授信能力、优化负债结构。具体资产负债率未披露。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经营信息显示招投标等经营活跃，现金流预计稳定。数据未披露。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在临清集群内，博特以薄壁轴承细分第一见长，与宇捷（调心滚子第一）、华工（风电轴承）形成差异化错位竞争，体量适中、专精特征明显。</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公司为其他有限责任公司，杨庆生任法人及实控人，山东省财金资本旗下基金为重要参股东，形成"民营控股+国资参股"的混合所有制治理，治理规范性优于纯家族企业。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法定代表人杨庆生主导公司经营，"轴承帝国里的佼佼者——BOT品牌创建者杨庆生"等报道显示其为企业创始人与品牌缔造者。</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通过ISO9001质量体系，从原材料购进到成品出厂全过程受控；2024年完成环保治理"脱胎换骨"改造。</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参保约52人，规模50—99人。作为技术密集型企业，研发人员占比未公开，但薄壁轴承工艺积累需要稳定技工队伍。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细分冠军地位：薄壁轴承系列国内市占率第一，先发与品牌优势；二是混合所有制背书：山东省财金资本参股，增强信用与资源获取能力；三是产业链地利：扎根临清轴承集群，配套与成本优势；四是全品类定制能力：覆盖薄壁、深沟球、角接触、圆锥等多系列及非标。</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风险：轴承行业整体竞争激烈、中低端产能过剩。经营风险：客户集中于工程机械、钢厂等周期行业，需求波动大；出口业务受贸易环境影响。技术风险：专利储备相对薄弱，面临高端化升级压力。应对措施：巩固薄壁轴承细分优势，提升专利与技术储备，借助国资股东资源拓展市场与融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对接：保理——对主机厂应收账款保理；供应链金融——依托集群核心企业地位服务上下游；融资租赁——薄壁轴承产线智能化设备售后回租；小贷——补充周转。山东财金资本参股背景有利于与山东投资体系协同，设计"国资股东增信+供应链"融资方案。</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博特轴承是临清轴承集群中薄壁轴承细分领域的冠军企业，混合所有制结构为其带来信用与资源红利，治理相对规范。短板在于专利储备与体量规模。展望：随着高端装备国产化，薄壁精密轴承需求增长。建议：强化专利布局与技术中心建设；规范财务披露；借助山东投资与财金股东协同，扩大产能与高端化投入。</w:t>
      </w:r>
    </w:p>
    <w:p>
      <w:pPr>
        <w:spacing w:lineRule="exact" w:line="600" w:before="0" w:after="0"/>
        <w:ind w:firstLine="420"/>
        <w:jc w:val="both"/>
      </w:pPr>
      <w:r>
        <w:rPr>
          <w:rFonts w:ascii="仿宋_GB2312" w:hAnsi="仿宋_GB2312" w:eastAsia="仿宋_GB2312"/>
          <w:b w:val="0"/>
          <w:color w:val="000000"/>
          <w:sz w:val="32"/>
        </w:rPr>
        <w:t>数据来源说明：本报告数据来自天眼查、企查查、水滴信用等工商信息；公司官网www.bot-bearing.com；大众日报等公开报道（薄壁轴承市占率第一）。财务数据未公开披露部分已如实标注。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