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山东博山（新能源汽车零部件）特色产业集群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山东北汽海华汽车部件股份有限公司企业分析报告</w:t>
      </w:r>
    </w:p>
    <w:p>
      <w:pPr>
        <w:spacing w:lineRule="exact" w:line="600" w:before="0" w:after="0"/>
        <w:jc w:val="left"/>
      </w:pPr>
      <w:r>
        <w:rPr>
          <w:rFonts w:ascii="仿宋_GB2312" w:hAnsi="仿宋_GB2312" w:eastAsia="仿宋_GB2312"/>
          <w:b w:val="0"/>
          <w:color w:val="000000"/>
          <w:sz w:val="28"/>
        </w:rPr>
        <w:t>（本报告数据来源于博山区政府公开项目资料（boshan.gov.cn）、天眼查/企查查/企业官网及公开报道。公司曾于2016年1月在全国中小企业股份转让系统（新三板）挂牌，近年财务数据未公开披露，已如实标注。）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北汽海华汽车部件股份有限公司（简称“北汽海华”）成立于2010年3月，系由北汽集团北京海纳川及淄博颜山专用汽车、淄博万山机械、北汽光华公司等发起设立的跨地区、跨行业、跨所有制股份制企业。公司法定代表人为杜斌，统一社会信用代码/注册号370300200012778，注册资本约7,250万元人民币（不同公开来源记载为6,000万—7,250万元，以政府项目书7,250万元为准），企业类型为股份有限公司（非上市、自然人投资或控股），所属行业为汽车制造业。总部位于山东省淄博市博山区白塔镇饮马村，占地150余亩。</w:t>
      </w:r>
    </w:p>
    <w:p>
      <w:pPr>
        <w:spacing w:lineRule="exact" w:line="600" w:before="0" w:after="0"/>
        <w:ind w:firstLine="420"/>
        <w:jc w:val="both"/>
      </w:pPr>
      <w:r>
        <w:rPr>
          <w:rFonts w:ascii="仿宋_GB2312" w:hAnsi="仿宋_GB2312" w:eastAsia="仿宋_GB2312"/>
          <w:b w:val="0"/>
          <w:color w:val="000000"/>
          <w:sz w:val="32"/>
        </w:rPr>
        <w:t>股权结构方面，公司为北汽集团参股的混合所有制企业（北汽集团通过北京海纳川等参股），同时有淄博本地民营资本参与，管理层与本地股东持股。公司作为北汽体系参股企业，与北汽福田建立深度战略合作，是北汽福田的主供方及福田新产品开发指定合作方，拥有北汽福田戴姆勒公司60%以上的配套供货份额。</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公司下辖多家子公司，包括北京中材汽车复合材料有限公司、北京北汽兴华汽车弹簧有限公司、IFA Composite GmbH（德国，简称IFC）等，并通过合资组建山东北汽默德克复合塑料有限公司（与德国Minda KTSN合作）。形成“山东总部+北京+德国+苏州”的研发与产业基地布局，业务覆盖钢板弹簧、复合材料汽车部件两大板块。</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2010年3月公司注册成立；2013年被认定为国家高新技术企业；2015年市级技术中心认定为山东省企业技术中心；2016年1月在全国中小企业股份转让系统（新三板）挂牌；2016年8月与德国Minda KTSN签订合资协议组建复合材料合资公司；2017年12月成功收购北京中材汽车复合材料有限公司；2018年5月成功收购世界领先复合材料汽车部件制造企业德国IFC公司，实现向复合材料轻量化的创新转型。</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汽车部件轻量化技术产业基地”，以“轻量化、新材料”为发展方向。主营业务包括：商用车悬架系统钢板弹簧产品（钢板弹簧、螺旋簧、气门簧、铝水箱、悬架零部件及总成）以及复合材料汽车部件产品（发动机油底壳、缸盖罩、复合材料板簧等），主要配套北汽集团、中国重汽、陕汽集团、康明斯、沃尔沃、大众、奔驰等国内外大型汽车企业集团。</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分为金属钢板弹簧与复合材料汽车部件两大板块。据政府项目资料，公司年产各类钢板弹簧及复合材料产品50,000吨，在钢板弹簧行业位居前三名。近年新增复合材料产品板块（发动机油底壳、乘用车内饰件、复合材料板簧），并推进德国戴姆勒奔驰H6系列产品开发，拟实现国际知名品牌整车配套。近年完整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1. 钢板弹簧及悬架部件：商用车悬架系统钢板弹簧、螺旋簧、气门簧、铝水箱、悬架零部件及总成，为主营支柱。2. 复合材料汽车部件：发动机油底壳、缸盖罩、乘用车内饰件、复合材料板簧（建成国内首条复合材料板簧生产线）。3. 研发服务：依托省级企业技术中心与德国IFC技术，提供轻量化部件开发。</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以头部商用车与零部件集团为主：北汽福田（戴姆勒公司60%以上供货份额）、中国重汽、陕汽集团、康明斯、沃尔沃、大众、奔驰等。客户集中度高、绑定深，对北汽福田依赖尤其显著，既是优势也是风险点。</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生产所需原材料以弹簧钢、钢材为主（经营范围含钢材销售），复合材料业务涉及树脂、玻纤/碳纤等；通过合格供应商体系采购，并与德国IFC共享技术与材料体系。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150余亩，总资产约42,690万元、固定资产约11,098万元（政府项目书数据）。拥有省级企业技术中心，下设淄博市轻量化高性能汽车悬挂件工程技术研究中心、淄博市汽车减震及弹性部件工程实验室等研发机构；通过IATF16949:2016、GB/T24001、GB/T28001、GB/T19002测量管理体系及安全生产标准化认证。拥有北京、山东、苏州三处研发产业基地及德国IFC。</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以主机厂直供与战略配套为主，依托北汽体系与国内外头部客户长期合作，并通过收购德国IFC打通欧洲市场渠道，推进国际知名品牌整车配套。</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博山区政府公开项目资料，公司2017年实现营业收入36,013万元、利润325万元、税收1,674万元；2018年营业收入43,125万元、利润675万元、税收1,573万元；2019年营业收入45,127万元、利润600万元、税收1,250万元。公司年产各类钢板弹簧及复合材料产品50,000吨，在钢板弹簧行业位居前三名。近年（2020年以来）完整经营数据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山东北汽海华汽车部件股份有限公司曾于2016年1月新三板挂牌，但近年财务数据未公开披露。以下为博山区政府公开项目资料记载的历史经营数据（2017—2019年）：</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2154"/>
          </w:tcPr>
          <w:p>
            <w:pPr>
              <w:spacing w:lineRule="exact" w:line="600"/>
              <w:jc w:val="center"/>
            </w:pPr>
            <w:r/>
            <w:r>
              <w:rPr>
                <w:rFonts w:ascii="黑体" w:hAnsi="黑体" w:eastAsia="黑体"/>
                <w:b/>
                <w:color w:val="000000"/>
                <w:sz w:val="32"/>
              </w:rPr>
              <w:t>2017年</w:t>
            </w:r>
          </w:p>
        </w:tc>
        <w:tc>
          <w:tcPr>
            <w:tcW w:type="dxa" w:w="2154"/>
          </w:tcPr>
          <w:p>
            <w:pPr>
              <w:spacing w:lineRule="exact" w:line="600"/>
              <w:jc w:val="center"/>
            </w:pPr>
            <w:r/>
            <w:r>
              <w:rPr>
                <w:rFonts w:ascii="黑体" w:hAnsi="黑体" w:eastAsia="黑体"/>
                <w:b/>
                <w:color w:val="000000"/>
                <w:sz w:val="32"/>
              </w:rPr>
              <w:t>2018年</w:t>
            </w:r>
          </w:p>
        </w:tc>
        <w:tc>
          <w:tcPr>
            <w:tcW w:type="dxa" w:w="2154"/>
          </w:tcPr>
          <w:p>
            <w:pPr>
              <w:spacing w:lineRule="exact" w:line="600"/>
              <w:jc w:val="center"/>
            </w:pPr>
            <w:r/>
            <w:r>
              <w:rPr>
                <w:rFonts w:ascii="黑体" w:hAnsi="黑体" w:eastAsia="黑体"/>
                <w:b/>
                <w:color w:val="000000"/>
                <w:sz w:val="32"/>
              </w:rPr>
              <w:t>2019年</w:t>
            </w:r>
          </w:p>
        </w:tc>
      </w:tr>
      <w:tr>
        <w:tc>
          <w:tcPr>
            <w:tcW w:type="dxa" w:w="2835"/>
          </w:tcPr>
          <w:p>
            <w:pPr>
              <w:spacing w:lineRule="exact" w:line="600"/>
              <w:jc w:val="center"/>
            </w:pPr>
            <w:r/>
            <w:r>
              <w:rPr>
                <w:rFonts w:ascii="仿宋_GB2312" w:hAnsi="仿宋_GB2312" w:eastAsia="仿宋_GB2312"/>
                <w:b w:val="0"/>
                <w:color w:val="000000"/>
                <w:sz w:val="32"/>
              </w:rPr>
              <w:t>营业收入（万元）</w:t>
            </w:r>
          </w:p>
        </w:tc>
        <w:tc>
          <w:tcPr>
            <w:tcW w:type="dxa" w:w="2154"/>
          </w:tcPr>
          <w:p>
            <w:pPr>
              <w:spacing w:lineRule="exact" w:line="600"/>
              <w:jc w:val="center"/>
            </w:pPr>
            <w:r/>
            <w:r>
              <w:rPr>
                <w:rFonts w:ascii="仿宋_GB2312" w:hAnsi="仿宋_GB2312" w:eastAsia="仿宋_GB2312"/>
                <w:b w:val="0"/>
                <w:color w:val="000000"/>
                <w:sz w:val="32"/>
              </w:rPr>
              <w:t>36,013</w:t>
            </w:r>
          </w:p>
        </w:tc>
        <w:tc>
          <w:tcPr>
            <w:tcW w:type="dxa" w:w="2154"/>
          </w:tcPr>
          <w:p>
            <w:pPr>
              <w:spacing w:lineRule="exact" w:line="600"/>
              <w:jc w:val="center"/>
            </w:pPr>
            <w:r/>
            <w:r>
              <w:rPr>
                <w:rFonts w:ascii="仿宋_GB2312" w:hAnsi="仿宋_GB2312" w:eastAsia="仿宋_GB2312"/>
                <w:b w:val="0"/>
                <w:color w:val="000000"/>
                <w:sz w:val="32"/>
              </w:rPr>
              <w:t>43,125</w:t>
            </w:r>
          </w:p>
        </w:tc>
        <w:tc>
          <w:tcPr>
            <w:tcW w:type="dxa" w:w="2154"/>
          </w:tcPr>
          <w:p>
            <w:pPr>
              <w:spacing w:lineRule="exact" w:line="600"/>
              <w:jc w:val="center"/>
            </w:pPr>
            <w:r/>
            <w:r>
              <w:rPr>
                <w:rFonts w:ascii="仿宋_GB2312" w:hAnsi="仿宋_GB2312" w:eastAsia="仿宋_GB2312"/>
                <w:b w:val="0"/>
                <w:color w:val="000000"/>
                <w:sz w:val="32"/>
              </w:rPr>
              <w:t>45,127</w:t>
            </w:r>
          </w:p>
        </w:tc>
      </w:tr>
      <w:tr>
        <w:tc>
          <w:tcPr>
            <w:tcW w:type="dxa" w:w="2835"/>
          </w:tcPr>
          <w:p>
            <w:pPr>
              <w:spacing w:lineRule="exact" w:line="600"/>
              <w:jc w:val="center"/>
            </w:pPr>
            <w:r/>
            <w:r>
              <w:rPr>
                <w:rFonts w:ascii="仿宋_GB2312" w:hAnsi="仿宋_GB2312" w:eastAsia="仿宋_GB2312"/>
                <w:b w:val="0"/>
                <w:color w:val="000000"/>
                <w:sz w:val="32"/>
              </w:rPr>
              <w:t>利润总额（万元）</w:t>
            </w:r>
          </w:p>
        </w:tc>
        <w:tc>
          <w:tcPr>
            <w:tcW w:type="dxa" w:w="2154"/>
          </w:tcPr>
          <w:p>
            <w:pPr>
              <w:spacing w:lineRule="exact" w:line="600"/>
              <w:jc w:val="center"/>
            </w:pPr>
            <w:r/>
            <w:r>
              <w:rPr>
                <w:rFonts w:ascii="仿宋_GB2312" w:hAnsi="仿宋_GB2312" w:eastAsia="仿宋_GB2312"/>
                <w:b w:val="0"/>
                <w:color w:val="000000"/>
                <w:sz w:val="32"/>
              </w:rPr>
              <w:t>325</w:t>
            </w:r>
          </w:p>
        </w:tc>
        <w:tc>
          <w:tcPr>
            <w:tcW w:type="dxa" w:w="2154"/>
          </w:tcPr>
          <w:p>
            <w:pPr>
              <w:spacing w:lineRule="exact" w:line="600"/>
              <w:jc w:val="center"/>
            </w:pPr>
            <w:r/>
            <w:r>
              <w:rPr>
                <w:rFonts w:ascii="仿宋_GB2312" w:hAnsi="仿宋_GB2312" w:eastAsia="仿宋_GB2312"/>
                <w:b w:val="0"/>
                <w:color w:val="000000"/>
                <w:sz w:val="32"/>
              </w:rPr>
              <w:t>675</w:t>
            </w:r>
          </w:p>
        </w:tc>
        <w:tc>
          <w:tcPr>
            <w:tcW w:type="dxa" w:w="2154"/>
          </w:tcPr>
          <w:p>
            <w:pPr>
              <w:spacing w:lineRule="exact" w:line="600"/>
              <w:jc w:val="center"/>
            </w:pPr>
            <w:r/>
            <w:r>
              <w:rPr>
                <w:rFonts w:ascii="仿宋_GB2312" w:hAnsi="仿宋_GB2312" w:eastAsia="仿宋_GB2312"/>
                <w:b w:val="0"/>
                <w:color w:val="000000"/>
                <w:sz w:val="32"/>
              </w:rPr>
              <w:t>600</w:t>
            </w:r>
          </w:p>
        </w:tc>
      </w:tr>
      <w:tr>
        <w:tc>
          <w:tcPr>
            <w:tcW w:type="dxa" w:w="2835"/>
          </w:tcPr>
          <w:p>
            <w:pPr>
              <w:spacing w:lineRule="exact" w:line="600"/>
              <w:jc w:val="center"/>
            </w:pPr>
            <w:r/>
            <w:r>
              <w:rPr>
                <w:rFonts w:ascii="仿宋_GB2312" w:hAnsi="仿宋_GB2312" w:eastAsia="仿宋_GB2312"/>
                <w:b w:val="0"/>
                <w:color w:val="000000"/>
                <w:sz w:val="32"/>
              </w:rPr>
              <w:t>税收（万元）</w:t>
            </w:r>
          </w:p>
        </w:tc>
        <w:tc>
          <w:tcPr>
            <w:tcW w:type="dxa" w:w="2154"/>
          </w:tcPr>
          <w:p>
            <w:pPr>
              <w:spacing w:lineRule="exact" w:line="600"/>
              <w:jc w:val="center"/>
            </w:pPr>
            <w:r/>
            <w:r>
              <w:rPr>
                <w:rFonts w:ascii="仿宋_GB2312" w:hAnsi="仿宋_GB2312" w:eastAsia="仿宋_GB2312"/>
                <w:b w:val="0"/>
                <w:color w:val="000000"/>
                <w:sz w:val="32"/>
              </w:rPr>
              <w:t>1,674</w:t>
            </w:r>
          </w:p>
        </w:tc>
        <w:tc>
          <w:tcPr>
            <w:tcW w:type="dxa" w:w="2154"/>
          </w:tcPr>
          <w:p>
            <w:pPr>
              <w:spacing w:lineRule="exact" w:line="600"/>
              <w:jc w:val="center"/>
            </w:pPr>
            <w:r/>
            <w:r>
              <w:rPr>
                <w:rFonts w:ascii="仿宋_GB2312" w:hAnsi="仿宋_GB2312" w:eastAsia="仿宋_GB2312"/>
                <w:b w:val="0"/>
                <w:color w:val="000000"/>
                <w:sz w:val="32"/>
              </w:rPr>
              <w:t>1,573</w:t>
            </w:r>
          </w:p>
        </w:tc>
        <w:tc>
          <w:tcPr>
            <w:tcW w:type="dxa" w:w="2154"/>
          </w:tcPr>
          <w:p>
            <w:pPr>
              <w:spacing w:lineRule="exact" w:line="600"/>
              <w:jc w:val="center"/>
            </w:pPr>
            <w:r/>
            <w:r>
              <w:rPr>
                <w:rFonts w:ascii="仿宋_GB2312" w:hAnsi="仿宋_GB2312" w:eastAsia="仿宋_GB2312"/>
                <w:b w:val="0"/>
                <w:color w:val="000000"/>
                <w:sz w:val="32"/>
              </w:rPr>
              <w:t>1,250</w:t>
            </w:r>
          </w:p>
        </w:tc>
      </w:tr>
      <w:tr>
        <w:tc>
          <w:tcPr>
            <w:tcW w:type="dxa" w:w="2835"/>
          </w:tcPr>
          <w:p>
            <w:pPr>
              <w:spacing w:lineRule="exact" w:line="600"/>
              <w:jc w:val="center"/>
            </w:pPr>
            <w:r/>
            <w:r>
              <w:rPr>
                <w:rFonts w:ascii="仿宋_GB2312" w:hAnsi="仿宋_GB2312" w:eastAsia="仿宋_GB2312"/>
                <w:b w:val="0"/>
                <w:color w:val="000000"/>
                <w:sz w:val="32"/>
              </w:rPr>
              <w:t>总资产（万元）</w:t>
            </w:r>
          </w:p>
        </w:tc>
        <w:tc>
          <w:tcPr>
            <w:tcW w:type="dxa" w:w="2154"/>
          </w:tcPr>
          <w:p>
            <w:pPr>
              <w:spacing w:lineRule="exact" w:line="600"/>
              <w:jc w:val="center"/>
            </w:pPr>
            <w:r/>
            <w:r>
              <w:rPr>
                <w:rFonts w:ascii="仿宋_GB2312" w:hAnsi="仿宋_GB2312" w:eastAsia="仿宋_GB2312"/>
                <w:b w:val="0"/>
                <w:color w:val="000000"/>
                <w:sz w:val="32"/>
              </w:rPr>
              <w:t>42,690</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w:t>
            </w:r>
          </w:p>
        </w:tc>
      </w:tr>
      <w:tr>
        <w:tc>
          <w:tcPr>
            <w:tcW w:type="dxa" w:w="2835"/>
          </w:tcPr>
          <w:p>
            <w:pPr>
              <w:spacing w:lineRule="exact" w:line="600"/>
              <w:jc w:val="center"/>
            </w:pPr>
            <w:r/>
            <w:r>
              <w:rPr>
                <w:rFonts w:ascii="仿宋_GB2312" w:hAnsi="仿宋_GB2312" w:eastAsia="仿宋_GB2312"/>
                <w:b w:val="0"/>
                <w:color w:val="000000"/>
                <w:sz w:val="32"/>
              </w:rPr>
              <w:t>固定资产（万元）</w:t>
            </w:r>
          </w:p>
        </w:tc>
        <w:tc>
          <w:tcPr>
            <w:tcW w:type="dxa" w:w="2154"/>
          </w:tcPr>
          <w:p>
            <w:pPr>
              <w:spacing w:lineRule="exact" w:line="600"/>
              <w:jc w:val="center"/>
            </w:pPr>
            <w:r/>
            <w:r>
              <w:rPr>
                <w:rFonts w:ascii="仿宋_GB2312" w:hAnsi="仿宋_GB2312" w:eastAsia="仿宋_GB2312"/>
                <w:b w:val="0"/>
                <w:color w:val="000000"/>
                <w:sz w:val="32"/>
              </w:rPr>
              <w:t>11,098</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w:t>
            </w:r>
          </w:p>
        </w:tc>
      </w:tr>
    </w:tbl>
    <w:p>
      <w:pPr>
        <w:spacing w:lineRule="exact" w:line="600" w:before="0" w:after="0"/>
        <w:ind w:firstLine="420"/>
        <w:jc w:val="both"/>
      </w:pPr>
      <w:r>
        <w:rPr>
          <w:rFonts w:ascii="仿宋_GB2312" w:hAnsi="仿宋_GB2312" w:eastAsia="仿宋_GB2312"/>
          <w:b w:val="0"/>
          <w:color w:val="000000"/>
          <w:sz w:val="32"/>
        </w:rPr>
        <w:t>注：上述为政府公开项目资料记载的历史数据；2020年以来的营业收入、净利润、毛利率、资产负债率、经营现金流净额等未公开披露，已如实标注。</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历史数据显示公司营业收入由2017年3.60亿元增至2019年4.51亿元，利润维持在300万—675万元区间，利润率偏低（约1%—2%），反映传统钢板弹簧业务附加值有限、成本敏感。近年盈利情况未公开。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据政府项目资料，公司总资产约42,690万元、固定资产约11,098万元，资产以厂房、设备与子公司股权为主，质量较实；近年资产负债表未公开。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财务数据未公开披露。作为北汽参股混合所有制企业，融资渠道相对多元，偿债风险需结合最新报表评估。</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财务数据未公开披露，现金流情况无法量化。</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与商用车悬架（钢板弹簧）同业相比，公司规模居行业前三，但利润率偏低；其差异化在于复合材料轻量化布局（收购德国IFC）与北汽体系绑定，具备转型潜力。</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公司为北汽集团参股的股份制企业，曾新三板挂牌，建立了股份公司治理框架（股东大会、董事会、监事会、经营层）。作为混合所有制企业，治理兼顾北汽体系规范与民营灵活。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法定代表人为杜斌。核心管理团队具备汽车部件与悬架行业经验，并依托北汽体系与德国IFC技术团队协同。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公司通过IATF16949等汽车质量体系认证，设有省级企业技术中心与多个研发机构，并建立与山东理工大学、北京理工大学的产学研合作，内控与研发体系较完善。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公司员工约450—500人（公开报道），拥有高素质技术研发队伍，含国家弹簧标准委员会委员1名，参与制定ISO18137《钢板弹簧技术要求和试验方法》国际标准及GB/T19844《钢板弹簧》国家标准。</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客户壁垒：北汽福田戴姆勒60%以上供货份额，深度绑定头部客户。2. 技术壁垒：省级企业技术中心、参与国际/国家钢板弹簧标准制定、收购德国IFC获得复合材料领先技术。3. 轻量化先发：国内首条复合材料板簧生产线，契合汽车轻量化趋势。4. 资本与资质：北汽参股、新三板挂牌经历、高新技术企业。5. 全球布局：北京/山东/苏州/德国四地产业与研发基地。</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行业风险：商用车周期波动、钢材价格与环保政策影响成本与需求。2. 经营风险：客户高度集中（对北汽福田依赖大），传统钢板弹簧利润率偏低；复合材料新业务投产与放量存在不确定性。3. 财务风险：近年财务未公开，透明度低；并购（德国IFC等）带来整合与汇率风险。4. 合规风险：出口管制与跨国经营合规。应对措施：拓展客户多元化、加快复合材料放量、强化合规与整合管理。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作为博山新能源汽车零部件集群的轻量化部件代表，北汽海华可围绕以下方向开展与山东投资的协同：1. 供应链金融：基于钢材采购与对主机厂供货的应收账款开展保理与订单融资；2. 融资租赁：为复合材料板簧等新产线设备开展融资租赁；3. 保理：盘活对北汽福田等客户的应收账款；4. 小额贷款：支持上游弹簧钢与零部件中小配套企业。亦可探讨产业基金参与其轻量化复合材料产能扩建与德国IFC协同。</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北汽海华汽车部件股份有限公司是博山新能源汽车零部件集群的轻量化部件代表，具备北汽体系客户壁垒、省级技术中心与收购德国IFC带来的复合材料先发优势，钢板弹簧业务规模居行业前三。短板在于传统业务利润率偏低、客户集中、近年财务透明度不足。</w:t>
      </w:r>
    </w:p>
    <w:p>
      <w:pPr>
        <w:spacing w:lineRule="exact" w:line="600" w:before="0" w:after="0"/>
        <w:ind w:firstLine="420"/>
        <w:jc w:val="both"/>
      </w:pPr>
      <w:r>
        <w:rPr>
          <w:rFonts w:ascii="仿宋_GB2312" w:hAnsi="仿宋_GB2312" w:eastAsia="仿宋_GB2312"/>
          <w:b w:val="0"/>
          <w:color w:val="000000"/>
          <w:sz w:val="32"/>
        </w:rPr>
        <w:t>发展展望：在汽车轻量化（复合材料板簧、发动机部件）与国产替代趋势下，公司转型潜力较大。建议：一是恢复/提升财务信息披露（如重新对接公开披露）；二是借助山东投资等资本，以供应链金融、融资租赁及产业基金支持复合材料产能扩建；三是降低客户集中度，拓展多元整车配套。</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实际使用的数据来源包括：博山区政府公开项目资料（boshan.gov.cn《汽车轻量化复合材料产业化项目简介》）；天眼查、企查查工商与股权信息；企业公开简介及媒体报道。近年（2020年以来）经审计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