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山东威海高新区(办公自动化设备)特色产业集群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山东新北洋信息技术股份有限公司企业分析报告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（本报告依据新北洋(002376.SZ)2023年年度报告、2024年跟踪评级报告及公开财经媒体编写，用于产业投资参考。上市公司数据采用公开披露口径。数据来源见文末。）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北洋信息技术股份有限公司成立于2002年（经山东省体改委批准设立），2010年3月在深交所上市，股票代码002376.SZ，注册地址为山东省威海市火炬高技术产业开发区火炬路169号，法定代表人为宋森。公司是国内知名的智能设备/装备解决方案提供商，亦为威海OA集群核心上市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山东新北洋信息技术股份有限公司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上市信息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深交所 002376.SZ（2010年3月上市）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宋森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注册资本/股本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约6.48亿元（2024年3月底）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威海市火炬高技术产业开发区火炬路169号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行业分类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计算机设备/智能设备制造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无控股股东和实际控制人（民营）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无控股股东和实际控制人：第一大股东威海北洋电气集团及其一致行动人持股合计约20.70%，第二大股东石河子联众利丰投资合伙企业（有限合伙）及门洪强持股合计约14.40%。截至2024年3月底，北洋集团及其一致行动人所持股份质押比例为34.42%，需关注质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（三）业务定位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公司致力于成为先进的智能设备/装备解决方案提供商，主营关键基础零部件、整机及系统集成产品（打印扫描产品、智能自助终端、智慧金融设备、智能物流装备）及服务运营业务，构建"一体两翼"业务布局。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核心产品包括专用打印扫描设备（嵌入式热敏/针式打印机、标签打印机等）、智能自助终端、智慧金融设备、智能物流装备，广泛应用于零售、交通、金融、物流、政务等场景，并具国产替代能力。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2023年分产品收入：打印扫描产品5.35亿元（+4.67%，占24.42%）、智慧金融设备4.00亿元（-12.43%，占18.25%）、智能自助终端3.82亿元（-21.37%，占17.47%）。客户覆盖金融、零售、物流与政务行业头部企业。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（三）技术与产能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公司持续高研发投入（2023年研发费用3.41亿元），在专用打印扫描领域具备核心自主技术，构建从关键零部件到整机及系统集成的产业链上下游协同能力。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（一）近三年关键财务指标（公开披露口径）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单位/说明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21.90亿元（-3.82%）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同比小幅下降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1,926.39万元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同比扭亏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扣非净利润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676.89万元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同比扭亏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3.89亿元（+325.78%）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显著改善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综合毛利率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30.76%（+3.09pct）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成本下降带动提升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资产总额/净资产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54.16亿 / 34.28亿元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2023年底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约36.7%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负债率稳健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员工总数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4,001人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2023年底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（二）盈利与现金流特征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通过调整业务结构、原材料价格下降、减值减少及投资收益增加，实现净利润由亏转盈；但投资收益1.24亿元相当于营业利润的2.68倍，其他收益0.34亿元，两者对利润影响大。应收账款和存货合计12.89亿元（占总资产23.80%），对营运资金占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四、公司治理、管理与人力的分析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上市公司，治理结构规范，无实控人但主要股东为国有背景的北洋集团。2023年完成换届，主要管理制度连续。员工4,001人，人均创收54.73万元；研发人员占比高，研发费率约15.6%，技术人才储备扎实。需关注股东股份质押与无实控人下的决策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核心竞争力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技术自主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专用打印扫描核心技术与专利壁垒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"一体两翼"上下游协同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品牌客户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金融/零售/物流头部客户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研发强度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年研发费超3亿元，费率约15%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资质信用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联合资信AA/稳定主体评级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风险描述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需求波动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下游行业需求复杂多变、竞争加剧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拓展细分场景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利润依赖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投资收益/其他收益占利润比高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夯实主营盈利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营运占用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应收+存货占资产23.8%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强化信用与库存管理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质押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主要股东质押比例34.42%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关注平仓风险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无实控人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治理稳定性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完善董事会机制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（一）商业保理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应收账款规模较大，可探索保理盘活资金，但须关注回款质量。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作为链主可为核心零部件供应商提供供应链金融支持。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智能制造设备适合融资租赁优化资产结构。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不适用，公司融资渠道以银行授信、可转债（新北转债）为主。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北洋信息技术股份有限公司是威海OA集群核心上市企业，在专用打印扫描领域技术自主、研发深厚、客户优质，2023年盈利扭亏、现金流大幅改善，整体财务稳健（AA/稳定）。主要隐忧在投资收益对利润贡献过大、应收存货占用及股东质押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着国产替代与智能设备渗透，公司"一体两翼"布局有望稳步兑现。建议投资方关注其主营盈利的可持续性、应收账款质量与股东质押变化，可结合可转债或产业基金方式参与，并重视其与关联方华菱电子在热敏打印头上的产业链协同价值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数据来源说明：本报告数据来源于新北洋(002376.SZ)2023年年度报告、联合资信《公开发行可转换公司债券2024年跟踪评级报告》、公开财经媒体（如中证网、新浪财经）。相关指标以公司正式披露文件为准。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