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山东威海高新区(办公自动化设备)特色产业集群</w:t>
      </w:r>
    </w:p>
    <w:p>
      <w:pPr>
        <w:spacing w:lineRule="exact" w:line="600" w:before="240" w:after="240"/>
        <w:ind w:firstLine="0"/>
        <w:jc w:val="center"/>
      </w:pPr>
      <w:r>
        <w:rPr>
          <w:rFonts w:ascii="方正小标宋简体" w:hAnsi="方正小标宋简体" w:eastAsia="方正小标宋简体"/>
          <w:b w:val="0"/>
          <w:color w:val="000000"/>
          <w:sz w:val="44"/>
        </w:rPr>
        <w:t>惠普打印机（山东）有限公司企业分析报告</w:t>
      </w:r>
    </w:p>
    <w:p>
      <w:pPr>
        <w:spacing w:lineRule="exact" w:line="600" w:before="0" w:after="0"/>
        <w:jc w:val="left"/>
      </w:pPr>
      <w:r>
        <w:rPr>
          <w:rFonts w:ascii="仿宋_GB2312" w:hAnsi="仿宋_GB2312" w:eastAsia="仿宋_GB2312"/>
          <w:b w:val="0"/>
          <w:color w:val="000000"/>
          <w:sz w:val="28"/>
        </w:rPr>
        <w:t>（本报告依据威海市政府/商务局公开报道、企业公开资料及行业权威媒体编写，用于产业投资参考。该公司为美国惠普集团在威海设立的打印机整机制造基地，财务未单独上市披露，采用威海市公开数据（含2018年数据，已注明年度）。数据来源见文末。）</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（一）工商基本信息</w:t>
      </w:r>
    </w:p>
    <w:p>
      <w:pPr>
        <w:spacing w:lineRule="exact" w:line="600" w:before="0" w:after="0"/>
        <w:ind w:firstLine="420"/>
        <w:jc w:val="both"/>
      </w:pPr>
      <w:r>
        <w:rPr>
          <w:rFonts w:ascii="仿宋_GB2312" w:hAnsi="仿宋_GB2312" w:eastAsia="仿宋_GB2312"/>
          <w:b w:val="0"/>
          <w:color w:val="000000"/>
          <w:sz w:val="32"/>
        </w:rPr>
        <w:t>惠普打印机（山东）有限公司位于山东省威海火炬高技术产业开发区锦州路29号，是美国惠普（HP）集团在威海设立的打印机整机制造基地，前身为三星电子打印机业务——2017年11月惠普以10.5亿美元并购三星打印机业务入驻威海，2019年4月惠普与山东省、威海市签署协议，在威海建设惠普公司全球唯一直营的激光打印机基地。</w:t>
      </w:r>
    </w:p>
    <w:tbl>
      <w:tblPr>
        <w:tblStyle w:val="TableGrid"/>
        <w:tblW w:type="auto" w:w="0"/>
        <w:jc w:val="center"/>
        <w:tblLook w:firstColumn="1" w:firstRow="1" w:lastColumn="0" w:lastRow="0" w:noHBand="0" w:noVBand="1" w:val="04A0"/>
      </w:tblPr>
      <w:tblGrid>
        <w:gridCol w:w="4422"/>
        <w:gridCol w:w="4422"/>
      </w:tblGrid>
      <w:tr>
        <w:tc>
          <w:tcPr>
            <w:tcW w:type="dxa" w:w="1984"/>
          </w:tcPr>
          <w:p>
            <w:pPr>
              <w:spacing w:lineRule="exact" w:line="600"/>
              <w:jc w:val="center"/>
            </w:pPr>
            <w:r/>
            <w:r>
              <w:rPr>
                <w:rFonts w:ascii="黑体" w:hAnsi="黑体" w:eastAsia="黑体"/>
                <w:b/>
                <w:color w:val="000000"/>
                <w:sz w:val="32"/>
              </w:rPr>
              <w:t>项目</w:t>
            </w:r>
          </w:p>
        </w:tc>
        <w:tc>
          <w:tcPr>
            <w:tcW w:type="dxa" w:w="7087"/>
          </w:tcPr>
          <w:p>
            <w:pPr>
              <w:spacing w:lineRule="exact" w:line="600"/>
              <w:jc w:val="center"/>
            </w:pPr>
            <w:r/>
            <w:r>
              <w:rPr>
                <w:rFonts w:ascii="黑体" w:hAnsi="黑体" w:eastAsia="黑体"/>
                <w:b/>
                <w:color w:val="000000"/>
                <w:sz w:val="32"/>
              </w:rPr>
              <w:t>内容</w:t>
            </w:r>
          </w:p>
        </w:tc>
      </w:tr>
      <w:tr>
        <w:tc>
          <w:tcPr>
            <w:tcW w:type="dxa" w:w="1984"/>
          </w:tcPr>
          <w:p>
            <w:pPr>
              <w:spacing w:lineRule="exact" w:line="600"/>
              <w:jc w:val="center"/>
            </w:pPr>
            <w:r/>
            <w:r>
              <w:rPr>
                <w:rFonts w:ascii="仿宋_GB2312" w:hAnsi="仿宋_GB2312" w:eastAsia="仿宋_GB2312"/>
                <w:b w:val="0"/>
                <w:color w:val="000000"/>
                <w:sz w:val="32"/>
              </w:rPr>
              <w:t>企业名称</w:t>
            </w:r>
          </w:p>
        </w:tc>
        <w:tc>
          <w:tcPr>
            <w:tcW w:type="dxa" w:w="7087"/>
          </w:tcPr>
          <w:p>
            <w:pPr>
              <w:spacing w:lineRule="exact" w:line="600"/>
              <w:jc w:val="center"/>
            </w:pPr>
            <w:r/>
            <w:r>
              <w:rPr>
                <w:rFonts w:ascii="仿宋_GB2312" w:hAnsi="仿宋_GB2312" w:eastAsia="仿宋_GB2312"/>
                <w:b w:val="0"/>
                <w:color w:val="000000"/>
                <w:sz w:val="32"/>
              </w:rPr>
              <w:t>惠普打印机（山东）有限公司</w:t>
            </w:r>
          </w:p>
        </w:tc>
      </w:tr>
      <w:tr>
        <w:tc>
          <w:tcPr>
            <w:tcW w:type="dxa" w:w="1984"/>
          </w:tcPr>
          <w:p>
            <w:pPr>
              <w:spacing w:lineRule="exact" w:line="600"/>
              <w:jc w:val="center"/>
            </w:pPr>
            <w:r/>
            <w:r>
              <w:rPr>
                <w:rFonts w:ascii="仿宋_GB2312" w:hAnsi="仿宋_GB2312" w:eastAsia="仿宋_GB2312"/>
                <w:b w:val="0"/>
                <w:color w:val="000000"/>
                <w:sz w:val="32"/>
              </w:rPr>
              <w:t>注册地址</w:t>
            </w:r>
          </w:p>
        </w:tc>
        <w:tc>
          <w:tcPr>
            <w:tcW w:type="dxa" w:w="7087"/>
          </w:tcPr>
          <w:p>
            <w:pPr>
              <w:spacing w:lineRule="exact" w:line="600"/>
              <w:jc w:val="center"/>
            </w:pPr>
            <w:r/>
            <w:r>
              <w:rPr>
                <w:rFonts w:ascii="仿宋_GB2312" w:hAnsi="仿宋_GB2312" w:eastAsia="仿宋_GB2312"/>
                <w:b w:val="0"/>
                <w:color w:val="000000"/>
                <w:sz w:val="32"/>
              </w:rPr>
              <w:t>山东省威海火炬高技术产业开发区锦州路29号</w:t>
            </w:r>
          </w:p>
        </w:tc>
      </w:tr>
      <w:tr>
        <w:tc>
          <w:tcPr>
            <w:tcW w:type="dxa" w:w="1984"/>
          </w:tcPr>
          <w:p>
            <w:pPr>
              <w:spacing w:lineRule="exact" w:line="600"/>
              <w:jc w:val="center"/>
            </w:pPr>
            <w:r/>
            <w:r>
              <w:rPr>
                <w:rFonts w:ascii="仿宋_GB2312" w:hAnsi="仿宋_GB2312" w:eastAsia="仿宋_GB2312"/>
                <w:b w:val="0"/>
                <w:color w:val="000000"/>
                <w:sz w:val="32"/>
              </w:rPr>
              <w:t>母公司</w:t>
            </w:r>
          </w:p>
        </w:tc>
        <w:tc>
          <w:tcPr>
            <w:tcW w:type="dxa" w:w="7087"/>
          </w:tcPr>
          <w:p>
            <w:pPr>
              <w:spacing w:lineRule="exact" w:line="600"/>
              <w:jc w:val="center"/>
            </w:pPr>
            <w:r/>
            <w:r>
              <w:rPr>
                <w:rFonts w:ascii="仿宋_GB2312" w:hAnsi="仿宋_GB2312" w:eastAsia="仿宋_GB2312"/>
                <w:b w:val="0"/>
                <w:color w:val="000000"/>
                <w:sz w:val="32"/>
              </w:rPr>
              <w:t>美国惠普（HP）集团（外资）</w:t>
            </w:r>
          </w:p>
        </w:tc>
      </w:tr>
      <w:tr>
        <w:tc>
          <w:tcPr>
            <w:tcW w:type="dxa" w:w="1984"/>
          </w:tcPr>
          <w:p>
            <w:pPr>
              <w:spacing w:lineRule="exact" w:line="600"/>
              <w:jc w:val="center"/>
            </w:pPr>
            <w:r/>
            <w:r>
              <w:rPr>
                <w:rFonts w:ascii="仿宋_GB2312" w:hAnsi="仿宋_GB2312" w:eastAsia="仿宋_GB2312"/>
                <w:b w:val="0"/>
                <w:color w:val="000000"/>
                <w:sz w:val="32"/>
              </w:rPr>
              <w:t>成立背景</w:t>
            </w:r>
          </w:p>
        </w:tc>
        <w:tc>
          <w:tcPr>
            <w:tcW w:type="dxa" w:w="7087"/>
          </w:tcPr>
          <w:p>
            <w:pPr>
              <w:spacing w:lineRule="exact" w:line="600"/>
              <w:jc w:val="center"/>
            </w:pPr>
            <w:r/>
            <w:r>
              <w:rPr>
                <w:rFonts w:ascii="仿宋_GB2312" w:hAnsi="仿宋_GB2312" w:eastAsia="仿宋_GB2312"/>
                <w:b w:val="0"/>
                <w:color w:val="000000"/>
                <w:sz w:val="32"/>
              </w:rPr>
              <w:t>2017年惠普10.5亿美元并购三星打印机业务入驻威海</w:t>
            </w:r>
          </w:p>
        </w:tc>
      </w:tr>
      <w:tr>
        <w:tc>
          <w:tcPr>
            <w:tcW w:type="dxa" w:w="1984"/>
          </w:tcPr>
          <w:p>
            <w:pPr>
              <w:spacing w:lineRule="exact" w:line="600"/>
              <w:jc w:val="center"/>
            </w:pPr>
            <w:r/>
            <w:r>
              <w:rPr>
                <w:rFonts w:ascii="仿宋_GB2312" w:hAnsi="仿宋_GB2312" w:eastAsia="仿宋_GB2312"/>
                <w:b w:val="0"/>
                <w:color w:val="000000"/>
                <w:sz w:val="32"/>
              </w:rPr>
              <w:t>行业分类</w:t>
            </w:r>
          </w:p>
        </w:tc>
        <w:tc>
          <w:tcPr>
            <w:tcW w:type="dxa" w:w="7087"/>
          </w:tcPr>
          <w:p>
            <w:pPr>
              <w:spacing w:lineRule="exact" w:line="600"/>
              <w:jc w:val="center"/>
            </w:pPr>
            <w:r/>
            <w:r>
              <w:rPr>
                <w:rFonts w:ascii="仿宋_GB2312" w:hAnsi="仿宋_GB2312" w:eastAsia="仿宋_GB2312"/>
                <w:b w:val="0"/>
                <w:color w:val="000000"/>
                <w:sz w:val="32"/>
              </w:rPr>
              <w:t>计算机外围设备/办公自动化设备制造</w:t>
            </w:r>
          </w:p>
        </w:tc>
      </w:tr>
      <w:tr>
        <w:tc>
          <w:tcPr>
            <w:tcW w:type="dxa" w:w="1984"/>
          </w:tcPr>
          <w:p>
            <w:pPr>
              <w:spacing w:lineRule="exact" w:line="600"/>
              <w:jc w:val="center"/>
            </w:pPr>
            <w:r/>
            <w:r>
              <w:rPr>
                <w:rFonts w:ascii="仿宋_GB2312" w:hAnsi="仿宋_GB2312" w:eastAsia="仿宋_GB2312"/>
                <w:b w:val="0"/>
                <w:color w:val="000000"/>
                <w:sz w:val="32"/>
              </w:rPr>
              <w:t>企业性质</w:t>
            </w:r>
          </w:p>
        </w:tc>
        <w:tc>
          <w:tcPr>
            <w:tcW w:type="dxa" w:w="7087"/>
          </w:tcPr>
          <w:p>
            <w:pPr>
              <w:spacing w:lineRule="exact" w:line="600"/>
              <w:jc w:val="center"/>
            </w:pPr>
            <w:r/>
            <w:r>
              <w:rPr>
                <w:rFonts w:ascii="仿宋_GB2312" w:hAnsi="仿宋_GB2312" w:eastAsia="仿宋_GB2312"/>
                <w:b w:val="0"/>
                <w:color w:val="000000"/>
                <w:sz w:val="32"/>
              </w:rPr>
              <w:t>外商投资（世界500强）</w:t>
            </w:r>
          </w:p>
        </w:tc>
      </w:tr>
      <w:tr>
        <w:tc>
          <w:tcPr>
            <w:tcW w:type="dxa" w:w="1984"/>
          </w:tcPr>
          <w:p>
            <w:pPr>
              <w:spacing w:lineRule="exact" w:line="600"/>
              <w:jc w:val="center"/>
            </w:pPr>
            <w:r/>
            <w:r>
              <w:rPr>
                <w:rFonts w:ascii="仿宋_GB2312" w:hAnsi="仿宋_GB2312" w:eastAsia="仿宋_GB2312"/>
                <w:b w:val="0"/>
                <w:color w:val="000000"/>
                <w:sz w:val="32"/>
              </w:rPr>
              <w:t>党建</w:t>
            </w:r>
          </w:p>
        </w:tc>
        <w:tc>
          <w:tcPr>
            <w:tcW w:type="dxa" w:w="7087"/>
          </w:tcPr>
          <w:p>
            <w:pPr>
              <w:spacing w:lineRule="exact" w:line="600"/>
              <w:jc w:val="center"/>
            </w:pPr>
            <w:r/>
            <w:r>
              <w:rPr>
                <w:rFonts w:ascii="仿宋_GB2312" w:hAnsi="仿宋_GB2312" w:eastAsia="仿宋_GB2312"/>
                <w:b w:val="0"/>
                <w:color w:val="000000"/>
                <w:sz w:val="32"/>
              </w:rPr>
              <w:t>全国非公经济党建工作先进集体</w:t>
            </w:r>
          </w:p>
        </w:tc>
      </w:tr>
    </w:tbl>
    <w:p>
      <w:pPr>
        <w:spacing w:lineRule="exact" w:line="600" w:before="120" w:after="120"/>
        <w:ind w:firstLine="420"/>
        <w:jc w:val="left"/>
      </w:pPr>
      <w:r>
        <w:rPr>
          <w:rFonts w:ascii="楷体_GB2312" w:hAnsi="楷体_GB2312" w:eastAsia="楷体_GB2312"/>
          <w:b w:val="0"/>
          <w:color w:val="000000"/>
          <w:sz w:val="32"/>
        </w:rPr>
        <w:t>（二）组织架构与股权结构</w:t>
      </w:r>
    </w:p>
    <w:p>
      <w:pPr>
        <w:spacing w:lineRule="exact" w:line="600" w:before="0" w:after="0"/>
        <w:ind w:firstLine="420"/>
        <w:jc w:val="both"/>
      </w:pPr>
      <w:r>
        <w:rPr>
          <w:rFonts w:ascii="仿宋_GB2312" w:hAnsi="仿宋_GB2312" w:eastAsia="仿宋_GB2312"/>
          <w:b w:val="0"/>
          <w:color w:val="000000"/>
          <w:sz w:val="32"/>
        </w:rPr>
        <w:t>公司为惠普集团全资子公司，股权100%外资，决策与战略高度服从全球总部，本地化运营团队负责制造与供应链管理。作为威海OA集群链主，带动120余家配套企业。</w:t>
      </w:r>
    </w:p>
    <w:p>
      <w:pPr>
        <w:spacing w:lineRule="exact" w:line="600" w:before="120" w:after="120"/>
        <w:ind w:firstLine="420"/>
        <w:jc w:val="left"/>
      </w:pPr>
      <w:r>
        <w:rPr>
          <w:rFonts w:ascii="楷体_GB2312" w:hAnsi="楷体_GB2312" w:eastAsia="楷体_GB2312"/>
          <w:b w:val="0"/>
          <w:color w:val="000000"/>
          <w:sz w:val="32"/>
        </w:rPr>
        <w:t>（三）企业定位与战略</w:t>
      </w:r>
    </w:p>
    <w:p>
      <w:pPr>
        <w:spacing w:lineRule="exact" w:line="600" w:before="0" w:after="0"/>
        <w:ind w:firstLine="420"/>
        <w:jc w:val="both"/>
      </w:pPr>
      <w:r>
        <w:rPr>
          <w:rFonts w:ascii="仿宋_GB2312" w:hAnsi="仿宋_GB2312" w:eastAsia="仿宋_GB2312"/>
          <w:b w:val="0"/>
          <w:color w:val="000000"/>
          <w:sz w:val="32"/>
        </w:rPr>
        <w:t>公司定位为全球激光打印机研发制造基地，战略上整合惠普全球激光打印机产能，持续引进供应链项目，打造"全球打印机之都"核心载体，产品覆盖高端打印机、复合机、3D打印及宽幅打印等。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w:t>
      </w:r>
    </w:p>
    <w:p>
      <w:pPr>
        <w:spacing w:lineRule="exact" w:line="600" w:before="0" w:after="0"/>
        <w:ind w:firstLine="420"/>
        <w:jc w:val="both"/>
      </w:pPr>
      <w:r>
        <w:rPr>
          <w:rFonts w:ascii="仿宋_GB2312" w:hAnsi="仿宋_GB2312" w:eastAsia="仿宋_GB2312"/>
          <w:b w:val="0"/>
          <w:color w:val="000000"/>
          <w:sz w:val="32"/>
        </w:rPr>
        <w:t>主营高端打印机、复合机等四大类14个系列50多个产品，3D打印、宽幅打印技术处于世界领先水平，打印机市场占有率全球第一。</w:t>
      </w:r>
    </w:p>
    <w:p>
      <w:pPr>
        <w:spacing w:lineRule="exact" w:line="600" w:before="120" w:after="120"/>
        <w:ind w:firstLine="420"/>
        <w:jc w:val="left"/>
      </w:pPr>
      <w:r>
        <w:rPr>
          <w:rFonts w:ascii="楷体_GB2312" w:hAnsi="楷体_GB2312" w:eastAsia="楷体_GB2312"/>
          <w:b w:val="0"/>
          <w:color w:val="000000"/>
          <w:sz w:val="32"/>
        </w:rPr>
        <w:t>（二）市场与客户</w:t>
      </w:r>
    </w:p>
    <w:p>
      <w:pPr>
        <w:spacing w:lineRule="exact" w:line="600" w:before="0" w:after="0"/>
        <w:ind w:firstLine="420"/>
        <w:jc w:val="both"/>
      </w:pPr>
      <w:r>
        <w:rPr>
          <w:rFonts w:ascii="仿宋_GB2312" w:hAnsi="仿宋_GB2312" w:eastAsia="仿宋_GB2312"/>
          <w:b w:val="0"/>
          <w:color w:val="000000"/>
          <w:sz w:val="32"/>
        </w:rPr>
        <w:t>产品畅销全球，是威海市进出口额最大的外资企业、2018年纳税额最大的外资企业。惠普全球打印机基地规划占地6000亩，已引进美国捷普、香港亿和、台湾正崴、韩国大振、韩国奎科等19个供应链项目（其中过亿美元项目8个），基地共有惠普（山东）及120多家配套企业、职工2.4万人。</w:t>
      </w:r>
    </w:p>
    <w:p>
      <w:pPr>
        <w:spacing w:lineRule="exact" w:line="600" w:before="120" w:after="120"/>
        <w:ind w:firstLine="420"/>
        <w:jc w:val="left"/>
      </w:pPr>
      <w:r>
        <w:rPr>
          <w:rFonts w:ascii="楷体_GB2312" w:hAnsi="楷体_GB2312" w:eastAsia="楷体_GB2312"/>
          <w:b w:val="0"/>
          <w:color w:val="000000"/>
          <w:sz w:val="32"/>
        </w:rPr>
        <w:t>（三）产能与布局</w:t>
      </w:r>
    </w:p>
    <w:p>
      <w:pPr>
        <w:spacing w:lineRule="exact" w:line="600" w:before="0" w:after="0"/>
        <w:ind w:firstLine="420"/>
        <w:jc w:val="both"/>
      </w:pPr>
      <w:r>
        <w:rPr>
          <w:rFonts w:ascii="仿宋_GB2312" w:hAnsi="仿宋_GB2312" w:eastAsia="仿宋_GB2312"/>
          <w:b w:val="0"/>
          <w:color w:val="000000"/>
          <w:sz w:val="32"/>
        </w:rPr>
        <w:t>公开报道显示月产能达120万台；2019年出货各类中高端激光打印机300万台，产业链产值超过150亿元。未来惠普全球激光打印机基地项目规划形成约2000亿元收入规模。</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（一）财务数据说明</w:t>
      </w:r>
    </w:p>
    <w:p>
      <w:pPr>
        <w:spacing w:lineRule="exact" w:line="600" w:before="0" w:after="0"/>
        <w:ind w:firstLine="420"/>
        <w:jc w:val="both"/>
      </w:pPr>
      <w:r>
        <w:rPr>
          <w:rFonts w:ascii="仿宋_GB2312" w:hAnsi="仿宋_GB2312" w:eastAsia="仿宋_GB2312"/>
          <w:b w:val="0"/>
          <w:color w:val="000000"/>
          <w:sz w:val="32"/>
        </w:rPr>
        <w:t>该公司为外资非上市制造实体，未单独披露经审计财报；以下采用威海市公开发布的企业经营数据（含2018年度数据，须注明历史年度）。</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402"/>
          </w:tcPr>
          <w:p>
            <w:pPr>
              <w:spacing w:lineRule="exact" w:line="600"/>
              <w:jc w:val="center"/>
            </w:pPr>
            <w:r/>
            <w:r>
              <w:rPr>
                <w:rFonts w:ascii="黑体" w:hAnsi="黑体" w:eastAsia="黑体"/>
                <w:b/>
                <w:color w:val="000000"/>
                <w:sz w:val="32"/>
              </w:rPr>
              <w:t>数据（年度）</w:t>
            </w:r>
          </w:p>
        </w:tc>
        <w:tc>
          <w:tcPr>
            <w:tcW w:type="dxa" w:w="3685"/>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总资产</w:t>
            </w:r>
          </w:p>
        </w:tc>
        <w:tc>
          <w:tcPr>
            <w:tcW w:type="dxa" w:w="3402"/>
          </w:tcPr>
          <w:p>
            <w:pPr>
              <w:spacing w:lineRule="exact" w:line="600"/>
              <w:jc w:val="center"/>
            </w:pPr>
            <w:r/>
            <w:r>
              <w:rPr>
                <w:rFonts w:ascii="仿宋_GB2312" w:hAnsi="仿宋_GB2312" w:eastAsia="仿宋_GB2312"/>
                <w:b w:val="0"/>
                <w:color w:val="000000"/>
                <w:sz w:val="32"/>
              </w:rPr>
              <w:t>24亿元（2018年）</w:t>
            </w:r>
          </w:p>
        </w:tc>
        <w:tc>
          <w:tcPr>
            <w:tcW w:type="dxa" w:w="3685"/>
          </w:tcPr>
          <w:p>
            <w:pPr>
              <w:spacing w:lineRule="exact" w:line="600"/>
              <w:jc w:val="center"/>
            </w:pPr>
            <w:r/>
            <w:r>
              <w:rPr>
                <w:rFonts w:ascii="仿宋_GB2312" w:hAnsi="仿宋_GB2312" w:eastAsia="仿宋_GB2312"/>
                <w:b w:val="0"/>
                <w:color w:val="000000"/>
                <w:sz w:val="32"/>
              </w:rPr>
              <w:t>威海市公开报道</w:t>
            </w:r>
          </w:p>
        </w:tc>
      </w:tr>
      <w:tr>
        <w:tc>
          <w:tcPr>
            <w:tcW w:type="dxa" w:w="1984"/>
          </w:tcPr>
          <w:p>
            <w:pPr>
              <w:spacing w:lineRule="exact" w:line="600"/>
              <w:jc w:val="center"/>
            </w:pPr>
            <w:r/>
            <w:r>
              <w:rPr>
                <w:rFonts w:ascii="仿宋_GB2312" w:hAnsi="仿宋_GB2312" w:eastAsia="仿宋_GB2312"/>
                <w:b w:val="0"/>
                <w:color w:val="000000"/>
                <w:sz w:val="32"/>
              </w:rPr>
              <w:t>营业收入</w:t>
            </w:r>
          </w:p>
        </w:tc>
        <w:tc>
          <w:tcPr>
            <w:tcW w:type="dxa" w:w="3402"/>
          </w:tcPr>
          <w:p>
            <w:pPr>
              <w:spacing w:lineRule="exact" w:line="600"/>
              <w:jc w:val="center"/>
            </w:pPr>
            <w:r/>
            <w:r>
              <w:rPr>
                <w:rFonts w:ascii="仿宋_GB2312" w:hAnsi="仿宋_GB2312" w:eastAsia="仿宋_GB2312"/>
                <w:b w:val="0"/>
                <w:color w:val="000000"/>
                <w:sz w:val="32"/>
              </w:rPr>
              <w:t>64亿元（2018年）</w:t>
            </w:r>
          </w:p>
        </w:tc>
        <w:tc>
          <w:tcPr>
            <w:tcW w:type="dxa" w:w="3685"/>
          </w:tcPr>
          <w:p>
            <w:pPr>
              <w:spacing w:lineRule="exact" w:line="600"/>
              <w:jc w:val="center"/>
            </w:pPr>
            <w:r/>
            <w:r>
              <w:rPr>
                <w:rFonts w:ascii="仿宋_GB2312" w:hAnsi="仿宋_GB2312" w:eastAsia="仿宋_GB2312"/>
                <w:b w:val="0"/>
                <w:color w:val="000000"/>
                <w:sz w:val="32"/>
              </w:rPr>
              <w:t>威海市公开报道</w:t>
            </w:r>
          </w:p>
        </w:tc>
      </w:tr>
      <w:tr>
        <w:tc>
          <w:tcPr>
            <w:tcW w:type="dxa" w:w="1984"/>
          </w:tcPr>
          <w:p>
            <w:pPr>
              <w:spacing w:lineRule="exact" w:line="600"/>
              <w:jc w:val="center"/>
            </w:pPr>
            <w:r/>
            <w:r>
              <w:rPr>
                <w:rFonts w:ascii="仿宋_GB2312" w:hAnsi="仿宋_GB2312" w:eastAsia="仿宋_GB2312"/>
                <w:b w:val="0"/>
                <w:color w:val="000000"/>
                <w:sz w:val="32"/>
              </w:rPr>
              <w:t>纳税总额</w:t>
            </w:r>
          </w:p>
        </w:tc>
        <w:tc>
          <w:tcPr>
            <w:tcW w:type="dxa" w:w="3402"/>
          </w:tcPr>
          <w:p>
            <w:pPr>
              <w:spacing w:lineRule="exact" w:line="600"/>
              <w:jc w:val="center"/>
            </w:pPr>
            <w:r/>
            <w:r>
              <w:rPr>
                <w:rFonts w:ascii="仿宋_GB2312" w:hAnsi="仿宋_GB2312" w:eastAsia="仿宋_GB2312"/>
                <w:b w:val="0"/>
                <w:color w:val="000000"/>
                <w:sz w:val="32"/>
              </w:rPr>
              <w:t>1.94亿元（2018年）</w:t>
            </w:r>
          </w:p>
        </w:tc>
        <w:tc>
          <w:tcPr>
            <w:tcW w:type="dxa" w:w="3685"/>
          </w:tcPr>
          <w:p>
            <w:pPr>
              <w:spacing w:lineRule="exact" w:line="600"/>
              <w:jc w:val="center"/>
            </w:pPr>
            <w:r/>
            <w:r>
              <w:rPr>
                <w:rFonts w:ascii="仿宋_GB2312" w:hAnsi="仿宋_GB2312" w:eastAsia="仿宋_GB2312"/>
                <w:b w:val="0"/>
                <w:color w:val="000000"/>
                <w:sz w:val="32"/>
              </w:rPr>
              <w:t>威海市公开报道</w:t>
            </w:r>
          </w:p>
        </w:tc>
      </w:tr>
      <w:tr>
        <w:tc>
          <w:tcPr>
            <w:tcW w:type="dxa" w:w="1984"/>
          </w:tcPr>
          <w:p>
            <w:pPr>
              <w:spacing w:lineRule="exact" w:line="600"/>
              <w:jc w:val="center"/>
            </w:pPr>
            <w:r/>
            <w:r>
              <w:rPr>
                <w:rFonts w:ascii="仿宋_GB2312" w:hAnsi="仿宋_GB2312" w:eastAsia="仿宋_GB2312"/>
                <w:b w:val="0"/>
                <w:color w:val="000000"/>
                <w:sz w:val="32"/>
              </w:rPr>
              <w:t>实际使用外资</w:t>
            </w:r>
          </w:p>
        </w:tc>
        <w:tc>
          <w:tcPr>
            <w:tcW w:type="dxa" w:w="3402"/>
          </w:tcPr>
          <w:p>
            <w:pPr>
              <w:spacing w:lineRule="exact" w:line="600"/>
              <w:jc w:val="center"/>
            </w:pPr>
            <w:r/>
            <w:r>
              <w:rPr>
                <w:rFonts w:ascii="仿宋_GB2312" w:hAnsi="仿宋_GB2312" w:eastAsia="仿宋_GB2312"/>
                <w:b w:val="0"/>
                <w:color w:val="000000"/>
                <w:sz w:val="32"/>
              </w:rPr>
              <w:t>累计9,745万美元（至2018年）</w:t>
            </w:r>
          </w:p>
        </w:tc>
        <w:tc>
          <w:tcPr>
            <w:tcW w:type="dxa" w:w="3685"/>
          </w:tcPr>
          <w:p>
            <w:pPr>
              <w:spacing w:lineRule="exact" w:line="600"/>
              <w:jc w:val="center"/>
            </w:pPr>
            <w:r/>
            <w:r>
              <w:rPr>
                <w:rFonts w:ascii="仿宋_GB2312" w:hAnsi="仿宋_GB2312" w:eastAsia="仿宋_GB2312"/>
                <w:b w:val="0"/>
                <w:color w:val="000000"/>
                <w:sz w:val="32"/>
              </w:rPr>
              <w:t>威海市公开报道</w:t>
            </w:r>
          </w:p>
        </w:tc>
      </w:tr>
      <w:tr>
        <w:tc>
          <w:tcPr>
            <w:tcW w:type="dxa" w:w="1984"/>
          </w:tcPr>
          <w:p>
            <w:pPr>
              <w:spacing w:lineRule="exact" w:line="600"/>
              <w:jc w:val="center"/>
            </w:pPr>
            <w:r/>
            <w:r>
              <w:rPr>
                <w:rFonts w:ascii="仿宋_GB2312" w:hAnsi="仿宋_GB2312" w:eastAsia="仿宋_GB2312"/>
                <w:b w:val="0"/>
                <w:color w:val="000000"/>
                <w:sz w:val="32"/>
              </w:rPr>
              <w:t>外贸进出口</w:t>
            </w:r>
          </w:p>
        </w:tc>
        <w:tc>
          <w:tcPr>
            <w:tcW w:type="dxa" w:w="3402"/>
          </w:tcPr>
          <w:p>
            <w:pPr>
              <w:spacing w:lineRule="exact" w:line="600"/>
              <w:jc w:val="center"/>
            </w:pPr>
            <w:r/>
            <w:r>
              <w:rPr>
                <w:rFonts w:ascii="仿宋_GB2312" w:hAnsi="仿宋_GB2312" w:eastAsia="仿宋_GB2312"/>
                <w:b w:val="0"/>
                <w:color w:val="000000"/>
                <w:sz w:val="32"/>
              </w:rPr>
              <w:t>69.08亿元（2018年）</w:t>
            </w:r>
          </w:p>
        </w:tc>
        <w:tc>
          <w:tcPr>
            <w:tcW w:type="dxa" w:w="3685"/>
          </w:tcPr>
          <w:p>
            <w:pPr>
              <w:spacing w:lineRule="exact" w:line="600"/>
              <w:jc w:val="center"/>
            </w:pPr>
            <w:r/>
            <w:r>
              <w:rPr>
                <w:rFonts w:ascii="仿宋_GB2312" w:hAnsi="仿宋_GB2312" w:eastAsia="仿宋_GB2312"/>
                <w:b w:val="0"/>
                <w:color w:val="000000"/>
                <w:sz w:val="32"/>
              </w:rPr>
              <w:t>威海市公开报道</w:t>
            </w:r>
          </w:p>
        </w:tc>
      </w:tr>
      <w:tr>
        <w:tc>
          <w:tcPr>
            <w:tcW w:type="dxa" w:w="1984"/>
          </w:tcPr>
          <w:p>
            <w:pPr>
              <w:spacing w:lineRule="exact" w:line="600"/>
              <w:jc w:val="center"/>
            </w:pPr>
            <w:r/>
            <w:r>
              <w:rPr>
                <w:rFonts w:ascii="仿宋_GB2312" w:hAnsi="仿宋_GB2312" w:eastAsia="仿宋_GB2312"/>
                <w:b w:val="0"/>
                <w:color w:val="000000"/>
                <w:sz w:val="32"/>
              </w:rPr>
              <w:t>月产能</w:t>
            </w:r>
          </w:p>
        </w:tc>
        <w:tc>
          <w:tcPr>
            <w:tcW w:type="dxa" w:w="3402"/>
          </w:tcPr>
          <w:p>
            <w:pPr>
              <w:spacing w:lineRule="exact" w:line="600"/>
              <w:jc w:val="center"/>
            </w:pPr>
            <w:r/>
            <w:r>
              <w:rPr>
                <w:rFonts w:ascii="仿宋_GB2312" w:hAnsi="仿宋_GB2312" w:eastAsia="仿宋_GB2312"/>
                <w:b w:val="0"/>
                <w:color w:val="000000"/>
                <w:sz w:val="32"/>
              </w:rPr>
              <w:t>约120万台</w:t>
            </w:r>
          </w:p>
        </w:tc>
        <w:tc>
          <w:tcPr>
            <w:tcW w:type="dxa" w:w="3685"/>
          </w:tcPr>
          <w:p>
            <w:pPr>
              <w:spacing w:lineRule="exact" w:line="600"/>
              <w:jc w:val="center"/>
            </w:pPr>
            <w:r/>
            <w:r>
              <w:rPr>
                <w:rFonts w:ascii="仿宋_GB2312" w:hAnsi="仿宋_GB2312" w:eastAsia="仿宋_GB2312"/>
                <w:b w:val="0"/>
                <w:color w:val="000000"/>
                <w:sz w:val="32"/>
              </w:rPr>
              <w:t>行业报道</w:t>
            </w:r>
          </w:p>
        </w:tc>
      </w:tr>
    </w:tbl>
    <w:p>
      <w:pPr>
        <w:spacing w:lineRule="exact" w:line="600" w:before="120" w:after="120"/>
        <w:ind w:firstLine="420"/>
        <w:jc w:val="left"/>
      </w:pPr>
      <w:r>
        <w:rPr>
          <w:rFonts w:ascii="楷体_GB2312" w:hAnsi="楷体_GB2312" w:eastAsia="楷体_GB2312"/>
          <w:b w:val="0"/>
          <w:color w:val="000000"/>
          <w:sz w:val="32"/>
        </w:rPr>
        <w:t>（二）盈利特征</w:t>
      </w:r>
    </w:p>
    <w:p>
      <w:pPr>
        <w:spacing w:lineRule="exact" w:line="600" w:before="0" w:after="0"/>
        <w:ind w:firstLine="420"/>
        <w:jc w:val="both"/>
      </w:pPr>
      <w:r>
        <w:rPr>
          <w:rFonts w:ascii="仿宋_GB2312" w:hAnsi="仿宋_GB2312" w:eastAsia="仿宋_GB2312"/>
          <w:b w:val="0"/>
          <w:color w:val="000000"/>
          <w:sz w:val="32"/>
        </w:rPr>
        <w:t>作为惠普全球基地，营收规模大、出口导向强，盈利随全球打印机市场与汇率波动。2018年数据反映其作为威海电子信息产业支柱的地位；近年具体经营数据建议以最新官方披露核实。</w:t>
      </w:r>
    </w:p>
    <w:p>
      <w:pPr>
        <w:spacing w:lineRule="exact" w:line="600" w:before="120" w:after="120"/>
        <w:ind w:firstLine="420"/>
        <w:jc w:val="left"/>
      </w:pPr>
      <w:r>
        <w:rPr>
          <w:rFonts w:ascii="黑体" w:hAnsi="黑体" w:eastAsia="黑体"/>
          <w:b w:val="0"/>
          <w:color w:val="000000"/>
          <w:sz w:val="32"/>
        </w:rPr>
        <w:t>四、公司治理、管理与人力的分析</w:t>
      </w:r>
    </w:p>
    <w:p>
      <w:pPr>
        <w:spacing w:lineRule="exact" w:line="600" w:before="0" w:after="0"/>
        <w:ind w:firstLine="420"/>
        <w:jc w:val="both"/>
      </w:pPr>
      <w:r>
        <w:rPr>
          <w:rFonts w:ascii="仿宋_GB2312" w:hAnsi="仿宋_GB2312" w:eastAsia="仿宋_GB2312"/>
          <w:b w:val="0"/>
          <w:color w:val="000000"/>
          <w:sz w:val="32"/>
        </w:rPr>
        <w:t>公司建立规范的跨国企业治理体系，党建工作突出，被评为全国非公经济党建工作先进集体，体现了外资企业在华合规经营与社会责任担当。基地吸纳职工2.4万人，带动区域就业与产业链人才集聚。</w:t>
      </w:r>
    </w:p>
    <w:p>
      <w:pPr>
        <w:spacing w:lineRule="exact" w:line="600" w:before="120" w:after="120"/>
        <w:ind w:firstLine="420"/>
        <w:jc w:val="left"/>
      </w:pPr>
      <w:r>
        <w:rPr>
          <w:rFonts w:ascii="黑体" w:hAnsi="黑体" w:eastAsia="黑体"/>
          <w:b w:val="0"/>
          <w:color w:val="000000"/>
          <w:sz w:val="32"/>
        </w:rPr>
        <w:t>五、核心竞争力分析</w:t>
      </w:r>
    </w:p>
    <w:tbl>
      <w:tblPr>
        <w:tblStyle w:val="TableGrid"/>
        <w:tblW w:type="auto" w:w="0"/>
        <w:jc w:val="center"/>
        <w:tblLook w:firstColumn="1" w:firstRow="1" w:lastColumn="0" w:lastRow="0" w:noHBand="0" w:noVBand="1" w:val="04A0"/>
      </w:tblPr>
      <w:tblGrid>
        <w:gridCol w:w="4422"/>
        <w:gridCol w:w="4422"/>
      </w:tblGrid>
      <w:tr>
        <w:tc>
          <w:tcPr>
            <w:tcW w:type="dxa" w:w="1984"/>
          </w:tcPr>
          <w:p>
            <w:pPr>
              <w:spacing w:lineRule="exact" w:line="600"/>
              <w:jc w:val="center"/>
            </w:pPr>
            <w:r/>
            <w:r>
              <w:rPr>
                <w:rFonts w:ascii="黑体" w:hAnsi="黑体" w:eastAsia="黑体"/>
                <w:b/>
                <w:color w:val="000000"/>
                <w:sz w:val="32"/>
              </w:rPr>
              <w:t>核心竞争力</w:t>
            </w:r>
          </w:p>
        </w:tc>
        <w:tc>
          <w:tcPr>
            <w:tcW w:type="dxa" w:w="7087"/>
          </w:tcPr>
          <w:p>
            <w:pPr>
              <w:spacing w:lineRule="exact" w:line="600"/>
              <w:jc w:val="center"/>
            </w:pPr>
            <w:r/>
            <w:r>
              <w:rPr>
                <w:rFonts w:ascii="黑体" w:hAnsi="黑体" w:eastAsia="黑体"/>
                <w:b/>
                <w:color w:val="000000"/>
                <w:sz w:val="32"/>
              </w:rPr>
              <w:t>具体表现</w:t>
            </w:r>
          </w:p>
        </w:tc>
      </w:tr>
      <w:tr>
        <w:tc>
          <w:tcPr>
            <w:tcW w:type="dxa" w:w="1984"/>
          </w:tcPr>
          <w:p>
            <w:pPr>
              <w:spacing w:lineRule="exact" w:line="600"/>
              <w:jc w:val="center"/>
            </w:pPr>
            <w:r/>
            <w:r>
              <w:rPr>
                <w:rFonts w:ascii="仿宋_GB2312" w:hAnsi="仿宋_GB2312" w:eastAsia="仿宋_GB2312"/>
                <w:b w:val="0"/>
                <w:color w:val="000000"/>
                <w:sz w:val="32"/>
              </w:rPr>
              <w:t>全球品牌</w:t>
            </w:r>
          </w:p>
        </w:tc>
        <w:tc>
          <w:tcPr>
            <w:tcW w:type="dxa" w:w="7087"/>
          </w:tcPr>
          <w:p>
            <w:pPr>
              <w:spacing w:lineRule="exact" w:line="600"/>
              <w:jc w:val="center"/>
            </w:pPr>
            <w:r/>
            <w:r>
              <w:rPr>
                <w:rFonts w:ascii="仿宋_GB2312" w:hAnsi="仿宋_GB2312" w:eastAsia="仿宋_GB2312"/>
                <w:b w:val="0"/>
                <w:color w:val="000000"/>
                <w:sz w:val="32"/>
              </w:rPr>
              <w:t>惠普全球激光打印机基地，市占率全球第一</w:t>
            </w:r>
          </w:p>
        </w:tc>
      </w:tr>
      <w:tr>
        <w:tc>
          <w:tcPr>
            <w:tcW w:type="dxa" w:w="1984"/>
          </w:tcPr>
          <w:p>
            <w:pPr>
              <w:spacing w:lineRule="exact" w:line="600"/>
              <w:jc w:val="center"/>
            </w:pPr>
            <w:r/>
            <w:r>
              <w:rPr>
                <w:rFonts w:ascii="仿宋_GB2312" w:hAnsi="仿宋_GB2312" w:eastAsia="仿宋_GB2312"/>
                <w:b w:val="0"/>
                <w:color w:val="000000"/>
                <w:sz w:val="32"/>
              </w:rPr>
              <w:t>链主地位</w:t>
            </w:r>
          </w:p>
        </w:tc>
        <w:tc>
          <w:tcPr>
            <w:tcW w:type="dxa" w:w="7087"/>
          </w:tcPr>
          <w:p>
            <w:pPr>
              <w:spacing w:lineRule="exact" w:line="600"/>
              <w:jc w:val="center"/>
            </w:pPr>
            <w:r/>
            <w:r>
              <w:rPr>
                <w:rFonts w:ascii="仿宋_GB2312" w:hAnsi="仿宋_GB2312" w:eastAsia="仿宋_GB2312"/>
                <w:b w:val="0"/>
                <w:color w:val="000000"/>
                <w:sz w:val="32"/>
              </w:rPr>
              <w:t>带动120余家配套，集群生态完整</w:t>
            </w:r>
          </w:p>
        </w:tc>
      </w:tr>
      <w:tr>
        <w:tc>
          <w:tcPr>
            <w:tcW w:type="dxa" w:w="1984"/>
          </w:tcPr>
          <w:p>
            <w:pPr>
              <w:spacing w:lineRule="exact" w:line="600"/>
              <w:jc w:val="center"/>
            </w:pPr>
            <w:r/>
            <w:r>
              <w:rPr>
                <w:rFonts w:ascii="仿宋_GB2312" w:hAnsi="仿宋_GB2312" w:eastAsia="仿宋_GB2312"/>
                <w:b w:val="0"/>
                <w:color w:val="000000"/>
                <w:sz w:val="32"/>
              </w:rPr>
              <w:t>技术领先</w:t>
            </w:r>
          </w:p>
        </w:tc>
        <w:tc>
          <w:tcPr>
            <w:tcW w:type="dxa" w:w="7087"/>
          </w:tcPr>
          <w:p>
            <w:pPr>
              <w:spacing w:lineRule="exact" w:line="600"/>
              <w:jc w:val="center"/>
            </w:pPr>
            <w:r/>
            <w:r>
              <w:rPr>
                <w:rFonts w:ascii="仿宋_GB2312" w:hAnsi="仿宋_GB2312" w:eastAsia="仿宋_GB2312"/>
                <w:b w:val="0"/>
                <w:color w:val="000000"/>
                <w:sz w:val="32"/>
              </w:rPr>
              <w:t>3D/宽幅打印世界领先</w:t>
            </w:r>
          </w:p>
        </w:tc>
      </w:tr>
      <w:tr>
        <w:tc>
          <w:tcPr>
            <w:tcW w:type="dxa" w:w="1984"/>
          </w:tcPr>
          <w:p>
            <w:pPr>
              <w:spacing w:lineRule="exact" w:line="600"/>
              <w:jc w:val="center"/>
            </w:pPr>
            <w:r/>
            <w:r>
              <w:rPr>
                <w:rFonts w:ascii="仿宋_GB2312" w:hAnsi="仿宋_GB2312" w:eastAsia="仿宋_GB2312"/>
                <w:b w:val="0"/>
                <w:color w:val="000000"/>
                <w:sz w:val="32"/>
              </w:rPr>
              <w:t>规模产能</w:t>
            </w:r>
          </w:p>
        </w:tc>
        <w:tc>
          <w:tcPr>
            <w:tcW w:type="dxa" w:w="7087"/>
          </w:tcPr>
          <w:p>
            <w:pPr>
              <w:spacing w:lineRule="exact" w:line="600"/>
              <w:jc w:val="center"/>
            </w:pPr>
            <w:r/>
            <w:r>
              <w:rPr>
                <w:rFonts w:ascii="仿宋_GB2312" w:hAnsi="仿宋_GB2312" w:eastAsia="仿宋_GB2312"/>
                <w:b w:val="0"/>
                <w:color w:val="000000"/>
                <w:sz w:val="32"/>
              </w:rPr>
              <w:t>月产能约120万台</w:t>
            </w:r>
          </w:p>
        </w:tc>
      </w:tr>
      <w:tr>
        <w:tc>
          <w:tcPr>
            <w:tcW w:type="dxa" w:w="1984"/>
          </w:tcPr>
          <w:p>
            <w:pPr>
              <w:spacing w:lineRule="exact" w:line="600"/>
              <w:jc w:val="center"/>
            </w:pPr>
            <w:r/>
            <w:r>
              <w:rPr>
                <w:rFonts w:ascii="仿宋_GB2312" w:hAnsi="仿宋_GB2312" w:eastAsia="仿宋_GB2312"/>
                <w:b w:val="0"/>
                <w:color w:val="000000"/>
                <w:sz w:val="32"/>
              </w:rPr>
              <w:t>政策区位</w:t>
            </w:r>
          </w:p>
        </w:tc>
        <w:tc>
          <w:tcPr>
            <w:tcW w:type="dxa" w:w="7087"/>
          </w:tcPr>
          <w:p>
            <w:pPr>
              <w:spacing w:lineRule="exact" w:line="600"/>
              <w:jc w:val="center"/>
            </w:pPr>
            <w:r/>
            <w:r>
              <w:rPr>
                <w:rFonts w:ascii="仿宋_GB2312" w:hAnsi="仿宋_GB2312" w:eastAsia="仿宋_GB2312"/>
                <w:b w:val="0"/>
                <w:color w:val="000000"/>
                <w:sz w:val="32"/>
              </w:rPr>
              <w:t>省市级重点支持，威海"打印机之都"</w:t>
            </w:r>
          </w:p>
        </w:tc>
      </w:tr>
    </w:tbl>
    <w:p>
      <w:pPr>
        <w:spacing w:lineRule="exact" w:line="600" w:before="120" w:after="120"/>
        <w:ind w:firstLine="420"/>
        <w:jc w:val="left"/>
      </w:pPr>
      <w:r>
        <w:rPr>
          <w:rFonts w:ascii="黑体" w:hAnsi="黑体" w:eastAsia="黑体"/>
          <w:b w:val="0"/>
          <w:color w:val="000000"/>
          <w:sz w:val="32"/>
        </w:rPr>
        <w:t>六、风险分析</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风险描述</w:t>
            </w:r>
          </w:p>
        </w:tc>
        <w:tc>
          <w:tcPr>
            <w:tcW w:type="dxa" w:w="283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全球贸易</w:t>
            </w:r>
          </w:p>
        </w:tc>
        <w:tc>
          <w:tcPr>
            <w:tcW w:type="dxa" w:w="4535"/>
          </w:tcPr>
          <w:p>
            <w:pPr>
              <w:spacing w:lineRule="exact" w:line="600"/>
              <w:jc w:val="center"/>
            </w:pPr>
            <w:r/>
            <w:r>
              <w:rPr>
                <w:rFonts w:ascii="仿宋_GB2312" w:hAnsi="仿宋_GB2312" w:eastAsia="仿宋_GB2312"/>
                <w:b w:val="0"/>
                <w:color w:val="000000"/>
                <w:sz w:val="32"/>
              </w:rPr>
              <w:t>地缘政治/关税影响出口</w:t>
            </w:r>
          </w:p>
        </w:tc>
        <w:tc>
          <w:tcPr>
            <w:tcW w:type="dxa" w:w="2835"/>
          </w:tcPr>
          <w:p>
            <w:pPr>
              <w:spacing w:lineRule="exact" w:line="600"/>
              <w:jc w:val="center"/>
            </w:pPr>
            <w:r/>
            <w:r>
              <w:rPr>
                <w:rFonts w:ascii="仿宋_GB2312" w:hAnsi="仿宋_GB2312" w:eastAsia="仿宋_GB2312"/>
                <w:b w:val="0"/>
                <w:color w:val="000000"/>
                <w:sz w:val="32"/>
              </w:rPr>
              <w:t>本地化与多元市场</w:t>
            </w:r>
          </w:p>
        </w:tc>
      </w:tr>
      <w:tr>
        <w:tc>
          <w:tcPr>
            <w:tcW w:type="dxa" w:w="1701"/>
          </w:tcPr>
          <w:p>
            <w:pPr>
              <w:spacing w:lineRule="exact" w:line="600"/>
              <w:jc w:val="center"/>
            </w:pPr>
            <w:r/>
            <w:r>
              <w:rPr>
                <w:rFonts w:ascii="仿宋_GB2312" w:hAnsi="仿宋_GB2312" w:eastAsia="仿宋_GB2312"/>
                <w:b w:val="0"/>
                <w:color w:val="000000"/>
                <w:sz w:val="32"/>
              </w:rPr>
              <w:t>供应链</w:t>
            </w:r>
          </w:p>
        </w:tc>
        <w:tc>
          <w:tcPr>
            <w:tcW w:type="dxa" w:w="4535"/>
          </w:tcPr>
          <w:p>
            <w:pPr>
              <w:spacing w:lineRule="exact" w:line="600"/>
              <w:jc w:val="center"/>
            </w:pPr>
            <w:r/>
            <w:r>
              <w:rPr>
                <w:rFonts w:ascii="仿宋_GB2312" w:hAnsi="仿宋_GB2312" w:eastAsia="仿宋_GB2312"/>
                <w:b w:val="0"/>
                <w:color w:val="000000"/>
                <w:sz w:val="32"/>
              </w:rPr>
              <w:t>关键部件对外依赖</w:t>
            </w:r>
          </w:p>
        </w:tc>
        <w:tc>
          <w:tcPr>
            <w:tcW w:type="dxa" w:w="2835"/>
          </w:tcPr>
          <w:p>
            <w:pPr>
              <w:spacing w:lineRule="exact" w:line="600"/>
              <w:jc w:val="center"/>
            </w:pPr>
            <w:r/>
            <w:r>
              <w:rPr>
                <w:rFonts w:ascii="仿宋_GB2312" w:hAnsi="仿宋_GB2312" w:eastAsia="仿宋_GB2312"/>
                <w:b w:val="0"/>
                <w:color w:val="000000"/>
                <w:sz w:val="32"/>
              </w:rPr>
              <w:t>深化本地配套</w:t>
            </w:r>
          </w:p>
        </w:tc>
      </w:tr>
      <w:tr>
        <w:tc>
          <w:tcPr>
            <w:tcW w:type="dxa" w:w="1701"/>
          </w:tcPr>
          <w:p>
            <w:pPr>
              <w:spacing w:lineRule="exact" w:line="600"/>
              <w:jc w:val="center"/>
            </w:pPr>
            <w:r/>
            <w:r>
              <w:rPr>
                <w:rFonts w:ascii="仿宋_GB2312" w:hAnsi="仿宋_GB2312" w:eastAsia="仿宋_GB2312"/>
                <w:b w:val="0"/>
                <w:color w:val="000000"/>
                <w:sz w:val="32"/>
              </w:rPr>
              <w:t>周期需求</w:t>
            </w:r>
          </w:p>
        </w:tc>
        <w:tc>
          <w:tcPr>
            <w:tcW w:type="dxa" w:w="4535"/>
          </w:tcPr>
          <w:p>
            <w:pPr>
              <w:spacing w:lineRule="exact" w:line="600"/>
              <w:jc w:val="center"/>
            </w:pPr>
            <w:r/>
            <w:r>
              <w:rPr>
                <w:rFonts w:ascii="仿宋_GB2312" w:hAnsi="仿宋_GB2312" w:eastAsia="仿宋_GB2312"/>
                <w:b w:val="0"/>
                <w:color w:val="000000"/>
                <w:sz w:val="32"/>
              </w:rPr>
              <w:t>办公打印市场增速放缓</w:t>
            </w:r>
          </w:p>
        </w:tc>
        <w:tc>
          <w:tcPr>
            <w:tcW w:type="dxa" w:w="2835"/>
          </w:tcPr>
          <w:p>
            <w:pPr>
              <w:spacing w:lineRule="exact" w:line="600"/>
              <w:jc w:val="center"/>
            </w:pPr>
            <w:r/>
            <w:r>
              <w:rPr>
                <w:rFonts w:ascii="仿宋_GB2312" w:hAnsi="仿宋_GB2312" w:eastAsia="仿宋_GB2312"/>
                <w:b w:val="0"/>
                <w:color w:val="000000"/>
                <w:sz w:val="32"/>
              </w:rPr>
              <w:t>拓展工业/3D打印</w:t>
            </w:r>
          </w:p>
        </w:tc>
      </w:tr>
      <w:tr>
        <w:tc>
          <w:tcPr>
            <w:tcW w:type="dxa" w:w="1701"/>
          </w:tcPr>
          <w:p>
            <w:pPr>
              <w:spacing w:lineRule="exact" w:line="600"/>
              <w:jc w:val="center"/>
            </w:pPr>
            <w:r/>
            <w:r>
              <w:rPr>
                <w:rFonts w:ascii="仿宋_GB2312" w:hAnsi="仿宋_GB2312" w:eastAsia="仿宋_GB2312"/>
                <w:b w:val="0"/>
                <w:color w:val="000000"/>
                <w:sz w:val="32"/>
              </w:rPr>
              <w:t>汇率</w:t>
            </w:r>
          </w:p>
        </w:tc>
        <w:tc>
          <w:tcPr>
            <w:tcW w:type="dxa" w:w="4535"/>
          </w:tcPr>
          <w:p>
            <w:pPr>
              <w:spacing w:lineRule="exact" w:line="600"/>
              <w:jc w:val="center"/>
            </w:pPr>
            <w:r/>
            <w:r>
              <w:rPr>
                <w:rFonts w:ascii="仿宋_GB2312" w:hAnsi="仿宋_GB2312" w:eastAsia="仿宋_GB2312"/>
                <w:b w:val="0"/>
                <w:color w:val="000000"/>
                <w:sz w:val="32"/>
              </w:rPr>
              <w:t>美元结算汇率波动</w:t>
            </w:r>
          </w:p>
        </w:tc>
        <w:tc>
          <w:tcPr>
            <w:tcW w:type="dxa" w:w="2835"/>
          </w:tcPr>
          <w:p>
            <w:pPr>
              <w:spacing w:lineRule="exact" w:line="600"/>
              <w:jc w:val="center"/>
            </w:pPr>
            <w:r/>
            <w:r>
              <w:rPr>
                <w:rFonts w:ascii="仿宋_GB2312" w:hAnsi="仿宋_GB2312" w:eastAsia="仿宋_GB2312"/>
                <w:b w:val="0"/>
                <w:color w:val="000000"/>
                <w:sz w:val="32"/>
              </w:rPr>
              <w:t>套保管理</w:t>
            </w:r>
          </w:p>
        </w:tc>
      </w:tr>
    </w:tbl>
    <w:p>
      <w:pPr>
        <w:spacing w:lineRule="exact" w:line="600" w:before="120" w:after="120"/>
        <w:ind w:firstLine="420"/>
        <w:jc w:val="left"/>
      </w:pPr>
      <w:r>
        <w:rPr>
          <w:rFonts w:ascii="黑体" w:hAnsi="黑体" w:eastAsia="黑体"/>
          <w:b w:val="0"/>
          <w:color w:val="000000"/>
          <w:sz w:val="32"/>
        </w:rPr>
        <w:t>七、融资需求分析</w:t>
      </w:r>
    </w:p>
    <w:p>
      <w:pPr>
        <w:spacing w:lineRule="exact" w:line="600" w:before="120" w:after="120"/>
        <w:ind w:firstLine="420"/>
        <w:jc w:val="left"/>
      </w:pPr>
      <w:r>
        <w:rPr>
          <w:rFonts w:ascii="楷体_GB2312" w:hAnsi="楷体_GB2312" w:eastAsia="楷体_GB2312"/>
          <w:b w:val="0"/>
          <w:color w:val="000000"/>
          <w:sz w:val="32"/>
        </w:rPr>
        <w:t>（一）商业保理</w:t>
      </w:r>
    </w:p>
    <w:p>
      <w:pPr>
        <w:spacing w:lineRule="exact" w:line="600" w:before="0" w:after="0"/>
        <w:ind w:firstLine="420"/>
        <w:jc w:val="both"/>
      </w:pPr>
      <w:r>
        <w:rPr>
          <w:rFonts w:ascii="仿宋_GB2312" w:hAnsi="仿宋_GB2312" w:eastAsia="仿宋_GB2312"/>
          <w:b w:val="0"/>
          <w:color w:val="000000"/>
          <w:sz w:val="32"/>
        </w:rPr>
        <w:t>对下游惠普全球销售形成应收，可适度保理，但外资总部资金调度能力强的背景下并非必需。</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作为链主，可为核心配套中小企业提供供应链金融增信，壮大本地生态。</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高精制造设备投资大，可组合运用融资租赁优化资产结构。</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不适用，公司融资以集团内部与银行授信为主。</w:t>
      </w:r>
    </w:p>
    <w:p>
      <w:pPr>
        <w:spacing w:lineRule="exact" w:line="600" w:before="120" w:after="120"/>
        <w:ind w:firstLine="420"/>
        <w:jc w:val="left"/>
      </w:pPr>
      <w:r>
        <w:rPr>
          <w:rFonts w:ascii="黑体" w:hAnsi="黑体" w:eastAsia="黑体"/>
          <w:b w:val="0"/>
          <w:color w:val="000000"/>
          <w:sz w:val="32"/>
        </w:rPr>
        <w:t>八、综合评价、展望与建议</w:t>
      </w:r>
    </w:p>
    <w:p>
      <w:pPr>
        <w:spacing w:lineRule="exact" w:line="600" w:before="0" w:after="0"/>
        <w:ind w:firstLine="420"/>
        <w:jc w:val="both"/>
      </w:pPr>
      <w:r>
        <w:rPr>
          <w:rFonts w:ascii="仿宋_GB2312" w:hAnsi="仿宋_GB2312" w:eastAsia="仿宋_GB2312"/>
          <w:b w:val="0"/>
          <w:color w:val="000000"/>
          <w:sz w:val="32"/>
        </w:rPr>
        <w:t>惠普打印机（山东）有限公司是威海高新区办公自动化设备产业集群的链主与世界级制造基地，品牌、技术、规模与集群带动能力无可替代，对区域电子信息产业升级具有显著牵引作用。</w:t>
      </w:r>
    </w:p>
    <w:p>
      <w:pPr>
        <w:spacing w:lineRule="exact" w:line="600" w:before="0" w:after="0"/>
        <w:ind w:firstLine="420"/>
        <w:jc w:val="both"/>
      </w:pPr>
      <w:r>
        <w:rPr>
          <w:rFonts w:ascii="仿宋_GB2312" w:hAnsi="仿宋_GB2312" w:eastAsia="仿宋_GB2312"/>
          <w:b w:val="0"/>
          <w:color w:val="000000"/>
          <w:sz w:val="32"/>
        </w:rPr>
        <w:t>展望：全球打印需求稳健叠加3D/工业打印新曲线，基地有望持续扩张。对山东省投资而言，直接股权介入空间有限（外资全资），更可行的是围绕其配套产业链（零部件、耗材、设备）以产业基金或供应链金融方式布局，借链主生态获取协同收益。</w:t>
      </w:r>
    </w:p>
    <w:p>
      <w:pPr>
        <w:spacing w:lineRule="exact" w:line="600" w:before="0" w:after="0"/>
        <w:jc w:val="left"/>
      </w:pPr>
      <w:r>
        <w:rPr>
          <w:rFonts w:ascii="仿宋_GB2312" w:hAnsi="仿宋_GB2312" w:eastAsia="仿宋_GB2312"/>
          <w:b w:val="0"/>
          <w:color w:val="000000"/>
          <w:sz w:val="28"/>
        </w:rPr>
        <w:t>数据来源说明：本报告数据来源于威海市人民政府/商务局公开报道（含2018年度数据）、企业公开资料、行业权威媒体。财务数据因公司外资非上市未单独披露，采用政府公开口径并已注明年度。最新数据以企业及主管部门披露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