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山东威海高新区（医疗器械）特色产业集群</w:t>
      </w:r>
    </w:p>
    <w:p>
      <w:pPr>
        <w:spacing w:lineRule="exact" w:line="600" w:before="240" w:after="240"/>
        <w:ind w:firstLine="0"/>
        <w:jc w:val="center"/>
      </w:pPr>
      <w:r>
        <w:rPr>
          <w:rFonts w:ascii="方正小标宋简体" w:hAnsi="方正小标宋简体" w:eastAsia="方正小标宋简体"/>
          <w:b w:val="0"/>
          <w:color w:val="000000"/>
          <w:sz w:val="44"/>
        </w:rPr>
        <w:t>迪沙药业集团有限公司企业分析报告</w:t>
      </w:r>
    </w:p>
    <w:p>
      <w:pPr>
        <w:spacing w:lineRule="exact" w:line="600" w:before="0" w:after="0"/>
        <w:jc w:val="left"/>
      </w:pPr>
      <w:r>
        <w:rPr>
          <w:rFonts w:ascii="仿宋_GB2312" w:hAnsi="仿宋_GB2312" w:eastAsia="仿宋_GB2312"/>
          <w:b w:val="0"/>
          <w:color w:val="000000"/>
          <w:sz w:val="28"/>
        </w:rPr>
        <w:t>（本报告数据来源于迪沙药业集团有限公司官网、天眼查/企查查/水滴信用等公开渠道。该公司为非上市民营企业，财务数据未公开披露，相关部分已如实标注；工商与股权信息以国家企业信用信息公示系统及第三方平台公开数据为准。）</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迪沙药业集团有限公司始建于1993年8月（工商登记成立日期为1997年4月30日，曾用名威海太阳药业有限公司、威海迪沙药业有限公司等），法定代表人为王德军。统一社会信用代码913710007062493501，企业类型为有限责任公司（自然人投资或控股）。</w:t>
      </w:r>
    </w:p>
    <w:p>
      <w:pPr>
        <w:spacing w:lineRule="exact" w:line="600" w:before="0" w:after="0"/>
        <w:ind w:firstLine="420"/>
        <w:jc w:val="both"/>
      </w:pPr>
      <w:r>
        <w:rPr>
          <w:rFonts w:ascii="仿宋_GB2312" w:hAnsi="仿宋_GB2312" w:eastAsia="仿宋_GB2312"/>
          <w:b w:val="0"/>
          <w:color w:val="000000"/>
          <w:sz w:val="32"/>
        </w:rPr>
        <w:t>公司注册资本59977.06277万元人民币，实缴资本同额。注册地址为威海经技区青岛南路-1-4号，登记机关为威海经济技术开发区市场监督管理局。经营范围涵盖药品生产、药品批发与零售、药品委托生产、食品及保健食品生产销售、第一类医疗器械生产销售、货物及技术进出口、海洋生物活性物质提取纯化等。</w:t>
      </w:r>
    </w:p>
    <w:p>
      <w:pPr>
        <w:spacing w:lineRule="exact" w:line="600" w:before="0" w:after="0"/>
        <w:ind w:firstLine="420"/>
        <w:jc w:val="both"/>
      </w:pPr>
      <w:r>
        <w:rPr>
          <w:rFonts w:ascii="仿宋_GB2312" w:hAnsi="仿宋_GB2312" w:eastAsia="仿宋_GB2312"/>
          <w:b w:val="0"/>
          <w:color w:val="000000"/>
          <w:sz w:val="32"/>
        </w:rPr>
        <w:t>股权结构：控股股东为威海迪沙投资有限公司，持股99.5381%；威海迪沙投资有限公司由王德军持股55.3592%并联合多位自然人持股，王德军为公司的实际控制人。其他少数自然人股东包括王琳嘉、多月英、元瑞欣等。</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集团下属控股公司包括山东迪沙药业有限公司、北京迪沙生物制品有限公司、威海迪素制药有限公司、威海迪之雅医药化工有限公司、威海迪沙生物制品有限公司、威海威太医药技术开发有限公司等，形成“制剂+原料药+生物制品”的产业链布局。</w:t>
      </w:r>
    </w:p>
    <w:p>
      <w:pPr>
        <w:spacing w:lineRule="exact" w:line="600" w:before="0" w:after="0"/>
        <w:ind w:firstLine="420"/>
        <w:jc w:val="both"/>
      </w:pPr>
      <w:r>
        <w:rPr>
          <w:rFonts w:ascii="仿宋_GB2312" w:hAnsi="仿宋_GB2312" w:eastAsia="仿宋_GB2312"/>
          <w:b w:val="0"/>
          <w:color w:val="000000"/>
          <w:sz w:val="32"/>
        </w:rPr>
        <w:t>公司设有国家博士后科研工作站、国家企业技术中心等高位研发平台，建立了以企业为主体、产学研相结合的自主创新体系。</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1993年8月，迪沙药业创立；从借款50万元、1个车间起步，逐步发展为产学研结合、研发生产营销新零售一体的国家高新技术企业。2023年8月，公司迎来成立30周年，已建成制剂、原料药、生物制品三大生产基地，完成线下、新零售、大健康三大营销体系布局。</w:t>
      </w:r>
    </w:p>
    <w:p>
      <w:pPr>
        <w:spacing w:lineRule="exact" w:line="600" w:before="0" w:after="0"/>
        <w:ind w:firstLine="420"/>
        <w:jc w:val="both"/>
      </w:pPr>
      <w:r>
        <w:rPr>
          <w:rFonts w:ascii="仿宋_GB2312" w:hAnsi="仿宋_GB2312" w:eastAsia="仿宋_GB2312"/>
          <w:b w:val="0"/>
          <w:color w:val="000000"/>
          <w:sz w:val="32"/>
        </w:rPr>
        <w:t>近年公司多款产品获批：盐酸多奈哌齐口崩片（2024年5月）、琥珀酸索利那新片（2024年7月，视同通过一致性评价）、苯磺酸左氨氯地平片通过一致性评价（2025年3月）等，产品管线持续丰富。</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研发主宰未来，创新决定成败”，以西药制剂和原料药为主体，集卫生用品、生物制品、中成药、保健食品的科研、生产和销售于一体。核心业务为化药制剂、化学原料药、医药中间体、生物制品、中药制剂。</w:t>
      </w:r>
    </w:p>
    <w:p>
      <w:pPr>
        <w:spacing w:lineRule="exact" w:line="600" w:before="0" w:after="0"/>
        <w:ind w:firstLine="420"/>
        <w:jc w:val="both"/>
      </w:pPr>
      <w:r>
        <w:rPr>
          <w:rFonts w:ascii="仿宋_GB2312" w:hAnsi="仿宋_GB2312" w:eastAsia="仿宋_GB2312"/>
          <w:b w:val="0"/>
          <w:color w:val="000000"/>
          <w:sz w:val="32"/>
        </w:rPr>
        <w:t>主要产品包括洛索洛芬钠、替米沙坦、非布司他、苯磺酸左氨氯地平、福多司坦、格列吡嗪、坎地沙坦酯、盐酸氟桂利嗪、盐酸托莫西汀等原料药及对应制剂；拥有140余项国家发明专利、1个国家科技进步二等奖。</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化药制剂、化学原料药为核心，辅以生物制品、中药制剂、保健食品与大健康新零售。具体各板块收入构成未公开披露（非上市公司），已如实标注。公司拥有通过新版GMP认证的大型生产车间，配备国内先进生产设备及配套设施。</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原料药及中间体：洛索洛芬钠、替米沙坦、非布司他、苯磺酸左氨氯地平、福多司坦、格列吡嗪、坎地沙坦酯等；制剂：片剂、颗粒剂、硬胶囊剂、中药饮片等；保健食品与消毒产品；生物制品板块由北京迪沙生物制品等主体运营。</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公司产品通过医院、药店连锁、第三终端及电商新零售等渠道销售，下游客户涵盖医疗机构、流通企业与终端消费者。具体前五大客户未公开披露。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公司原料药生产所需基础化工原料、辅料及包装材料由合格供应商体系保障，具体前五大供应商未公开披露。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是全国首批、山东首家通过新版GMP认证的制剂生产企业，拥有140余项国家发明专利、1个国家科技进步二等奖，设有国家博士后科研工作站。具备原料药、制剂、生物制品多基地生产资质，并通过一致性评价持续推进产品质量升级。</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公司建成线下、新零售、大健康三大营销体系，在传统医药商业渠道外积极拓展电商与直营新零售，形成全渠道营销布局。</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公司人员规模公开信息显示约1000—4999人（不同平台口径略有差异），参保人数约250人。具体营业收入、市场份额等经营数据未公开披露，已如实标注。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迪沙药业集团有限公司为非上市民营企业，近三年营业收入、净利润、资产负债率、经营现金流净额等财务数据均未公开披露。根据公开资料，公司注册资本59977.06277万元、总资产曾在早期资料中披露约3.6亿元（信息可能陈旧，仅供参考），具体最新财务数据以企业年度报告中披露为准，本报告中不予编造。</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因财务数据未公开，盈利指标无法列示。公司拥有多项一致性评价通过品种与发明专利，具备一定产品竞争力，但具体盈利水平缺乏公开数据支撑。</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资产结构未公开披露，无法评估。</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负债与偿债能力指标未公开披露。</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因缺乏公开财务数据，无法进行量化横向对标。可定性判断：公司在威海医药产业中具有区域代表性，以仿制药与原料药为主，面临集采与一致性评价驱动的行业洗牌。</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公司为公司制民营企业，设股东会、董事会、监事会。董事长兼总经理为王德军，副董事长王琳嘉，董事董海静等，监事王举美、张宗燕、徐秀珍。</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法定代表人、董事长兼总经理王德军为公司实际控制人，带领企业从创立发展至今；核心管理团队具有较长行业从业经验。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公司建立以企业为主体的研发与质控体系，通过国家高新技术企业、国家企业技术中心等认证；内控与合规情况以企业自评及监管检查为准，公开渠道未见重大负面。</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公司为国家博士后科研工作站设站单位，注重研发人才引进，与高校院所开展产学研合作。员工规模约千人级，具体人均效能未公开。</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一是产品与研发壁垒：140余项国家发明专利、1个国家科技进步二等奖，多款产品通过一致性评价，具备仿制药研发与质量优势。</w:t>
      </w:r>
    </w:p>
    <w:p>
      <w:pPr>
        <w:spacing w:lineRule="exact" w:line="600" w:before="0" w:after="0"/>
        <w:ind w:firstLine="420"/>
        <w:jc w:val="both"/>
      </w:pPr>
      <w:r>
        <w:rPr>
          <w:rFonts w:ascii="仿宋_GB2312" w:hAnsi="仿宋_GB2312" w:eastAsia="仿宋_GB2312"/>
          <w:b w:val="0"/>
          <w:color w:val="000000"/>
          <w:sz w:val="32"/>
        </w:rPr>
        <w:t>二是产业链一体化：建成“原料药+制剂+生物制品”三大基地，打通上游原料与下游营销，成本与质量可控。</w:t>
      </w:r>
    </w:p>
    <w:p>
      <w:pPr>
        <w:spacing w:lineRule="exact" w:line="600" w:before="0" w:after="0"/>
        <w:ind w:firstLine="420"/>
        <w:jc w:val="both"/>
      </w:pPr>
      <w:r>
        <w:rPr>
          <w:rFonts w:ascii="仿宋_GB2312" w:hAnsi="仿宋_GB2312" w:eastAsia="仿宋_GB2312"/>
          <w:b w:val="0"/>
          <w:color w:val="000000"/>
          <w:sz w:val="32"/>
        </w:rPr>
        <w:t>三是平台与资质：国家高新技术企业、国家企业技术中心、国家博士后科研工作站等高位平台，GMP认证齐全。</w:t>
      </w:r>
    </w:p>
    <w:p>
      <w:pPr>
        <w:spacing w:lineRule="exact" w:line="600" w:before="0" w:after="0"/>
        <w:ind w:firstLine="420"/>
        <w:jc w:val="both"/>
      </w:pPr>
      <w:r>
        <w:rPr>
          <w:rFonts w:ascii="仿宋_GB2312" w:hAnsi="仿宋_GB2312" w:eastAsia="仿宋_GB2312"/>
          <w:b w:val="0"/>
          <w:color w:val="000000"/>
          <w:sz w:val="32"/>
        </w:rPr>
        <w:t>四是品牌与渠道：区域知名品牌，线下+新零售+大健康全渠道布局，客户基础稳定。</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行业政策风险：仿制药一致性评价与集采持续推进，公司部分制剂与原料药品种面临降价与份额波动风险。</w:t>
      </w:r>
    </w:p>
    <w:p>
      <w:pPr>
        <w:spacing w:lineRule="exact" w:line="600" w:before="0" w:after="0"/>
        <w:ind w:firstLine="420"/>
        <w:jc w:val="both"/>
      </w:pPr>
      <w:r>
        <w:rPr>
          <w:rFonts w:ascii="仿宋_GB2312" w:hAnsi="仿宋_GB2312" w:eastAsia="仿宋_GB2312"/>
          <w:b w:val="0"/>
          <w:color w:val="000000"/>
          <w:sz w:val="32"/>
        </w:rPr>
        <w:t>经营风险：产品以化药仿制为主，创新药布局相对有限，长期增长依赖持续研发与产品迭代。</w:t>
      </w:r>
    </w:p>
    <w:p>
      <w:pPr>
        <w:spacing w:lineRule="exact" w:line="600" w:before="0" w:after="0"/>
        <w:ind w:firstLine="420"/>
        <w:jc w:val="both"/>
      </w:pPr>
      <w:r>
        <w:rPr>
          <w:rFonts w:ascii="仿宋_GB2312" w:hAnsi="仿宋_GB2312" w:eastAsia="仿宋_GB2312"/>
          <w:b w:val="0"/>
          <w:color w:val="000000"/>
          <w:sz w:val="32"/>
        </w:rPr>
        <w:t>财务风险：作为非上市民营企业，融资主要依赖银行信贷与股东投入，财务透明度较低，信用评估需以现场尽调与报表核验为准。</w:t>
      </w:r>
    </w:p>
    <w:p>
      <w:pPr>
        <w:spacing w:lineRule="exact" w:line="600" w:before="0" w:after="0"/>
        <w:ind w:firstLine="420"/>
        <w:jc w:val="both"/>
      </w:pPr>
      <w:r>
        <w:rPr>
          <w:rFonts w:ascii="仿宋_GB2312" w:hAnsi="仿宋_GB2312" w:eastAsia="仿宋_GB2312"/>
          <w:b w:val="0"/>
          <w:color w:val="000000"/>
          <w:sz w:val="32"/>
        </w:rPr>
        <w:t>应对措施：公司持续加大研发投入、推进一致性评价、拓展新零售与大健康，并布局生物制品以丰富产品矩阵。</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保理业务：上游原料供应商与下游经销商应收账款可开展保理，盘活流动资金。</w:t>
      </w:r>
    </w:p>
    <w:p>
      <w:pPr>
        <w:spacing w:lineRule="exact" w:line="600" w:before="0" w:after="0"/>
        <w:ind w:firstLine="420"/>
        <w:jc w:val="both"/>
      </w:pPr>
      <w:r>
        <w:rPr>
          <w:rFonts w:ascii="仿宋_GB2312" w:hAnsi="仿宋_GB2312" w:eastAsia="仿宋_GB2312"/>
          <w:b w:val="0"/>
          <w:color w:val="000000"/>
          <w:sz w:val="32"/>
        </w:rPr>
        <w:t>供应链金融：围绕核心企业信用，为产业链中小供应商提供融资支持。</w:t>
      </w:r>
    </w:p>
    <w:p>
      <w:pPr>
        <w:spacing w:lineRule="exact" w:line="600" w:before="0" w:after="0"/>
        <w:ind w:firstLine="420"/>
        <w:jc w:val="both"/>
      </w:pPr>
      <w:r>
        <w:rPr>
          <w:rFonts w:ascii="仿宋_GB2312" w:hAnsi="仿宋_GB2312" w:eastAsia="仿宋_GB2312"/>
          <w:b w:val="0"/>
          <w:color w:val="000000"/>
          <w:sz w:val="32"/>
        </w:rPr>
        <w:t>融资租赁：生产装置与研发设备更新存在融资租赁需求。</w:t>
      </w:r>
    </w:p>
    <w:p>
      <w:pPr>
        <w:spacing w:lineRule="exact" w:line="600" w:before="0" w:after="0"/>
        <w:ind w:firstLine="420"/>
        <w:jc w:val="both"/>
      </w:pPr>
      <w:r>
        <w:rPr>
          <w:rFonts w:ascii="仿宋_GB2312" w:hAnsi="仿宋_GB2312" w:eastAsia="仿宋_GB2312"/>
          <w:b w:val="0"/>
          <w:color w:val="000000"/>
          <w:sz w:val="32"/>
        </w:rPr>
        <w:t>小额贷款：面向上下游小微配套企业，可提供短期周转贷款；须以现场财务尽调与抵质押为前提，审慎介入。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综合评价：迪沙药业是威海医药产业的代表性民营制药企业，具备原料药—制剂一体化、研发平台与区域品牌优势，但财务透明度较低、创新药储备有限。</w:t>
      </w:r>
    </w:p>
    <w:p>
      <w:pPr>
        <w:spacing w:lineRule="exact" w:line="600" w:before="0" w:after="0"/>
        <w:ind w:firstLine="420"/>
        <w:jc w:val="both"/>
      </w:pPr>
      <w:r>
        <w:rPr>
          <w:rFonts w:ascii="仿宋_GB2312" w:hAnsi="仿宋_GB2312" w:eastAsia="仿宋_GB2312"/>
          <w:b w:val="0"/>
          <w:color w:val="000000"/>
          <w:sz w:val="32"/>
        </w:rPr>
        <w:t>发展展望：在一致性评价与集采背景下，具备质量与成本优势的品种有望扩大份额；生物制品与新零售是潜在增长方向。</w:t>
      </w:r>
    </w:p>
    <w:p>
      <w:pPr>
        <w:spacing w:lineRule="exact" w:line="600" w:before="0" w:after="0"/>
        <w:ind w:firstLine="420"/>
        <w:jc w:val="both"/>
      </w:pPr>
      <w:r>
        <w:rPr>
          <w:rFonts w:ascii="仿宋_GB2312" w:hAnsi="仿宋_GB2312" w:eastAsia="仿宋_GB2312"/>
          <w:b w:val="0"/>
          <w:color w:val="000000"/>
          <w:sz w:val="32"/>
        </w:rPr>
        <w:t>挑战：仿制药降价压力、创新投入产出周期长、非上市企业融资与透明度约束。</w:t>
      </w:r>
    </w:p>
    <w:p>
      <w:pPr>
        <w:spacing w:lineRule="exact" w:line="600" w:before="0" w:after="0"/>
        <w:ind w:firstLine="420"/>
        <w:jc w:val="both"/>
      </w:pPr>
      <w:r>
        <w:rPr>
          <w:rFonts w:ascii="仿宋_GB2312" w:hAnsi="仿宋_GB2312" w:eastAsia="仿宋_GB2312"/>
          <w:b w:val="0"/>
          <w:color w:val="000000"/>
          <w:sz w:val="32"/>
        </w:rPr>
        <w:t>结论与建议：建议山东投资在取得企业真实财务报表并开展现场尽调的前提下，优先以供应链金融与设备融资租赁等低风险方式切入，控制信用敞口。</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1. 迪沙药业集团有限公司官网（disha.com.cn）公开新闻与企业简介。</w:t>
      </w:r>
    </w:p>
    <w:p>
      <w:pPr>
        <w:spacing w:lineRule="exact" w:line="600" w:before="0" w:after="0"/>
        <w:ind w:firstLine="420"/>
        <w:jc w:val="both"/>
      </w:pPr>
      <w:r>
        <w:rPr>
          <w:rFonts w:ascii="仿宋_GB2312" w:hAnsi="仿宋_GB2312" w:eastAsia="仿宋_GB2312"/>
          <w:b w:val="0"/>
          <w:color w:val="000000"/>
          <w:sz w:val="32"/>
        </w:rPr>
        <w:t>2. 天眼查、企查查、水滴信用企业工商与股权信息。</w:t>
      </w:r>
    </w:p>
    <w:p>
      <w:pPr>
        <w:spacing w:lineRule="exact" w:line="600" w:before="0" w:after="0"/>
        <w:ind w:firstLine="420"/>
        <w:jc w:val="both"/>
      </w:pPr>
      <w:r>
        <w:rPr>
          <w:rFonts w:ascii="仿宋_GB2312" w:hAnsi="仿宋_GB2312" w:eastAsia="仿宋_GB2312"/>
          <w:b w:val="0"/>
          <w:color w:val="000000"/>
          <w:sz w:val="32"/>
        </w:rPr>
        <w:t>3. 国家企业信用信息公示系统公开年报（注册资本、参保人数等）。</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