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山东广饶（橡胶轮胎）特色产业集群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山东华盛橡胶有限公司企业分析报告</w:t>
      </w:r>
    </w:p>
    <w:p>
      <w:pPr>
        <w:spacing w:lineRule="exact" w:line="600" w:before="0" w:after="0"/>
        <w:jc w:val="left"/>
      </w:pPr>
      <w:r>
        <w:rPr>
          <w:rFonts w:ascii="仿宋_GB2312" w:hAnsi="仿宋_GB2312" w:eastAsia="仿宋_GB2312"/>
          <w:b w:val="0"/>
          <w:color w:val="000000"/>
          <w:sz w:val="28"/>
        </w:rPr>
        <w:t>（本报告依据企业公开披露信息、国家企业信用信息公示系统、企业官网、地方政府公开资料及权威媒体公开报道整理，数据截至2025年；未公开披露事项均已如实标注。）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盛橡胶有限公司成立于2009年9月3日，法定代表人为张树林，统一社会信用代码为913705236944165608，企业登记状态为存续，注册资本及实缴资本均为33600万元人民币，注册地址位于山东省东营市广饶县稻庄镇政府驻地。公司股权结构为自然人控股，张树林持股约87.86%、张金云持股约12.14%，系典型的民营股份制企业。</w:t>
      </w:r>
    </w:p>
    <w:p>
      <w:pPr>
        <w:spacing w:lineRule="exact" w:line="600" w:before="120" w:after="120"/>
        <w:ind w:firstLine="420"/>
        <w:jc w:val="left"/>
      </w:pPr>
      <w:r>
        <w:rPr>
          <w:rFonts w:ascii="楷体_GB2312" w:hAnsi="楷体_GB2312" w:eastAsia="楷体_GB2312"/>
          <w:b w:val="0"/>
          <w:color w:val="000000"/>
          <w:sz w:val="32"/>
        </w:rPr>
        <w:t>（二）集团背景与行业地位</w:t>
      </w:r>
    </w:p>
    <w:p>
      <w:pPr>
        <w:spacing w:lineRule="exact" w:line="600" w:before="0" w:after="0"/>
        <w:ind w:firstLine="420"/>
        <w:jc w:val="both"/>
      </w:pPr>
      <w:r>
        <w:rPr>
          <w:rFonts w:ascii="仿宋_GB2312" w:hAnsi="仿宋_GB2312" w:eastAsia="仿宋_GB2312"/>
          <w:b w:val="0"/>
          <w:color w:val="000000"/>
          <w:sz w:val="32"/>
        </w:rPr>
        <w:t>山东华盛橡胶有限公司为华盛橡胶集团核心成员企业。华盛橡胶集团始创于1983年，总部位于山东省东营市广饶县（孙武故里），历经四十余年发展，已形成总资产超50亿元、员工7300余人的国际化企业集团，跻身“全球轮胎50强”，是中国轮胎行业自主品牌和自主创新的中坚力量之一。集团经营地域覆盖全国30余个省、市、自治区及全球150多个国家和地区，旗下拥有路博（ROADBOSS）、康佩森（KAPSEN）、海倍德（HABILED）、华盛（HUASHENG）、盾轮（DURUN）、台通（TT）等6个产品品牌。</w:t>
      </w:r>
    </w:p>
    <w:p>
      <w:pPr>
        <w:spacing w:lineRule="exact" w:line="600" w:before="120" w:after="120"/>
        <w:ind w:firstLine="420"/>
        <w:jc w:val="left"/>
      </w:pPr>
      <w:r>
        <w:rPr>
          <w:rFonts w:ascii="楷体_GB2312" w:hAnsi="楷体_GB2312" w:eastAsia="楷体_GB2312"/>
          <w:b w:val="0"/>
          <w:color w:val="000000"/>
          <w:sz w:val="32"/>
        </w:rPr>
        <w:t>（三）资质与荣誉</w:t>
      </w:r>
    </w:p>
    <w:p>
      <w:pPr>
        <w:spacing w:lineRule="exact" w:line="600" w:before="0" w:after="0"/>
        <w:ind w:firstLine="420"/>
        <w:jc w:val="both"/>
      </w:pPr>
      <w:r>
        <w:rPr>
          <w:rFonts w:ascii="仿宋_GB2312" w:hAnsi="仿宋_GB2312" w:eastAsia="仿宋_GB2312"/>
          <w:b w:val="0"/>
          <w:color w:val="000000"/>
          <w:sz w:val="32"/>
        </w:rPr>
        <w:t>集团为高新技术企业、国家知识产权优势企业、全国质量诚信标杆企业，被授予山东省“十强”产业集群领军企业、山东省绿色工厂、山东省智能工厂、山东省高端品牌培育企业、中国石油和化工行业500强、中国橡胶轮胎出口基地企业等称号。主导或参与制定、修订国家和行业标准32项，拥有专利300余项，建有山东省企业技术中心、山东省工程研究中心、山东省工业设计中心、山东省院士工作站、山东省博士后创新实践基地等科研平台，并获评山东省专精特新中小企业。</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（一）主营业务与产品体系</w:t>
      </w:r>
    </w:p>
    <w:p>
      <w:pPr>
        <w:spacing w:lineRule="exact" w:line="600" w:before="0" w:after="0"/>
        <w:ind w:firstLine="420"/>
        <w:jc w:val="both"/>
      </w:pPr>
      <w:r>
        <w:rPr>
          <w:rFonts w:ascii="仿宋_GB2312" w:hAnsi="仿宋_GB2312" w:eastAsia="仿宋_GB2312"/>
          <w:b w:val="0"/>
          <w:color w:val="000000"/>
          <w:sz w:val="32"/>
        </w:rPr>
        <w:t>公司聚焦于橡胶产品、做强轮胎产业，已形成集中高端卡客车轮胎、高端轿车和SUV轮胎、缺气保用轮胎、工程胎、输送带、PVC胶管以及轮胎生产原材料贸易为一体的橡胶生态体系。乘用车轮胎年产能约2400万套（以海倍德HABILEAD等品牌为主），商用车轮胎引自日本、美国、德国、意大利等国的先进设备制造，输送带拥有钢丝绳生产线、大型平板硫化生产线等。</w:t>
      </w:r>
    </w:p>
    <w:p>
      <w:pPr>
        <w:spacing w:lineRule="exact" w:line="600" w:before="120" w:after="120"/>
        <w:ind w:firstLine="420"/>
        <w:jc w:val="left"/>
      </w:pPr>
      <w:r>
        <w:rPr>
          <w:rFonts w:ascii="楷体_GB2312" w:hAnsi="楷体_GB2312" w:eastAsia="楷体_GB2312"/>
          <w:b w:val="0"/>
          <w:color w:val="000000"/>
          <w:sz w:val="32"/>
        </w:rPr>
        <w:t>（二）产能布局</w:t>
      </w:r>
    </w:p>
    <w:p>
      <w:pPr>
        <w:spacing w:lineRule="exact" w:line="600" w:before="0" w:after="0"/>
        <w:ind w:firstLine="420"/>
        <w:jc w:val="both"/>
      </w:pPr>
      <w:r>
        <w:rPr>
          <w:rFonts w:ascii="仿宋_GB2312" w:hAnsi="仿宋_GB2312" w:eastAsia="仿宋_GB2312"/>
          <w:b w:val="0"/>
          <w:color w:val="000000"/>
          <w:sz w:val="32"/>
        </w:rPr>
        <w:t>据公开资料，山东华盛橡胶有限公司具备年产全钢子午线轮胎500万条、半钢子午线轮胎2400万条、输送带3000万平方米的生产能力，出口值多年位列山东省出口企业一百强，产品销往全球150多个国家和地区。</w:t>
      </w:r>
    </w:p>
    <w:p>
      <w:pPr>
        <w:spacing w:lineRule="exact" w:line="600" w:before="120" w:after="120"/>
        <w:ind w:firstLine="420"/>
        <w:jc w:val="left"/>
      </w:pPr>
      <w:r>
        <w:rPr>
          <w:rFonts w:ascii="楷体_GB2312" w:hAnsi="楷体_GB2312" w:eastAsia="楷体_GB2312"/>
          <w:b w:val="0"/>
          <w:color w:val="000000"/>
          <w:sz w:val="32"/>
        </w:rPr>
        <w:t>（三）智能制造与国际化</w:t>
      </w:r>
    </w:p>
    <w:p>
      <w:pPr>
        <w:spacing w:lineRule="exact" w:line="600" w:before="0" w:after="0"/>
        <w:ind w:firstLine="420"/>
        <w:jc w:val="both"/>
      </w:pPr>
      <w:r>
        <w:rPr>
          <w:rFonts w:ascii="仿宋_GB2312" w:hAnsi="仿宋_GB2312" w:eastAsia="仿宋_GB2312"/>
          <w:b w:val="0"/>
          <w:color w:val="000000"/>
          <w:sz w:val="32"/>
        </w:rPr>
        <w:t>2024年11月，集团下属和达（山东）橡胶科技有限公司“高性能轮胎绿色5G数字工厂”顺利产出首条乘用车轮胎（PCR），该项目总投资15.7亿元、占地37万平方米，定位“全流程自动化+信息化+智能化+绿色化”，系集团“未来工厂v2.0”升级版。2025年2月，集团通过联合国全球契约办公室审核，正式加入联合国全球契约组织，推动产业链绿色低碳发展。2023年11月，集团作为智能汽车链企业，是唯一一家独立参展首届中国国际供应链促进博览会（链博会）的轮胎企业，与特斯拉、吉利、比亚迪等车企建立合作联系，并进入北汽福田、陕西重汽等汽车企业供应商体系。</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（一）数据披露情况说明</w:t>
      </w:r>
    </w:p>
    <w:p>
      <w:pPr>
        <w:spacing w:lineRule="exact" w:line="600" w:before="0" w:after="0"/>
        <w:ind w:firstLine="420"/>
        <w:jc w:val="both"/>
      </w:pPr>
      <w:r>
        <w:rPr>
          <w:rFonts w:ascii="仿宋_GB2312" w:hAnsi="仿宋_GB2312" w:eastAsia="仿宋_GB2312"/>
          <w:b w:val="0"/>
          <w:color w:val="000000"/>
          <w:sz w:val="32"/>
        </w:rPr>
        <w:t>山东华盛橡胶有限公司为非上市民营企业，未公开披露经审计的年度财务报告。以下数据来源于第三方公开资料（搜狗百科等企业词条）及集团公开宣传材料，并非企业经审计的正式财务报表，仅供投资分析参考；集团层面总资产超50亿元为公开披露口径。</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指标</w:t>
            </w:r>
          </w:p>
        </w:tc>
        <w:tc>
          <w:tcPr>
            <w:tcW w:type="dxa" w:w="2948"/>
          </w:tcPr>
          <w:p>
            <w:pPr>
              <w:spacing w:lineRule="exact" w:line="600"/>
              <w:jc w:val="center"/>
            </w:pPr>
            <w:r/>
            <w:r>
              <w:rPr>
                <w:rFonts w:ascii="黑体" w:hAnsi="黑体" w:eastAsia="黑体"/>
                <w:b/>
                <w:color w:val="000000"/>
                <w:sz w:val="32"/>
              </w:rPr>
              <w:t>数值</w:t>
            </w:r>
          </w:p>
        </w:tc>
        <w:tc>
          <w:tcPr>
            <w:tcW w:type="dxa" w:w="2948"/>
          </w:tcPr>
          <w:p>
            <w:pPr>
              <w:spacing w:lineRule="exact" w:line="600"/>
              <w:jc w:val="center"/>
            </w:pPr>
            <w:r/>
            <w:r>
              <w:rPr>
                <w:rFonts w:ascii="黑体" w:hAnsi="黑体" w:eastAsia="黑体"/>
                <w:b/>
                <w:color w:val="000000"/>
                <w:sz w:val="32"/>
              </w:rPr>
              <w:t>口径/来源</w:t>
            </w:r>
          </w:p>
        </w:tc>
      </w:tr>
      <w:tr>
        <w:tc>
          <w:tcPr>
            <w:tcW w:type="dxa" w:w="2948"/>
          </w:tcPr>
          <w:p>
            <w:pPr>
              <w:spacing w:lineRule="exact" w:line="600"/>
              <w:jc w:val="center"/>
            </w:pPr>
            <w:r/>
            <w:r>
              <w:rPr>
                <w:rFonts w:ascii="仿宋_GB2312" w:hAnsi="仿宋_GB2312" w:eastAsia="仿宋_GB2312"/>
                <w:b w:val="0"/>
                <w:color w:val="000000"/>
                <w:sz w:val="32"/>
              </w:rPr>
              <w:t>2024年营业收入</w:t>
            </w:r>
          </w:p>
        </w:tc>
        <w:tc>
          <w:tcPr>
            <w:tcW w:type="dxa" w:w="2948"/>
          </w:tcPr>
          <w:p>
            <w:pPr>
              <w:spacing w:lineRule="exact" w:line="600"/>
              <w:jc w:val="center"/>
            </w:pPr>
            <w:r/>
            <w:r>
              <w:rPr>
                <w:rFonts w:ascii="仿宋_GB2312" w:hAnsi="仿宋_GB2312" w:eastAsia="仿宋_GB2312"/>
                <w:b w:val="0"/>
                <w:color w:val="000000"/>
                <w:sz w:val="32"/>
              </w:rPr>
              <w:t>约82.43亿元</w:t>
            </w:r>
          </w:p>
        </w:tc>
        <w:tc>
          <w:tcPr>
            <w:tcW w:type="dxa" w:w="2948"/>
          </w:tcPr>
          <w:p>
            <w:pPr>
              <w:spacing w:lineRule="exact" w:line="600"/>
              <w:jc w:val="center"/>
            </w:pPr>
            <w:r/>
            <w:r>
              <w:rPr>
                <w:rFonts w:ascii="仿宋_GB2312" w:hAnsi="仿宋_GB2312" w:eastAsia="仿宋_GB2312"/>
                <w:b w:val="0"/>
                <w:color w:val="000000"/>
                <w:sz w:val="32"/>
              </w:rPr>
              <w:t>公开资料（第三方企业词条）</w:t>
            </w:r>
          </w:p>
        </w:tc>
      </w:tr>
      <w:tr>
        <w:tc>
          <w:tcPr>
            <w:tcW w:type="dxa" w:w="2948"/>
          </w:tcPr>
          <w:p>
            <w:pPr>
              <w:spacing w:lineRule="exact" w:line="600"/>
              <w:jc w:val="center"/>
            </w:pPr>
            <w:r/>
            <w:r>
              <w:rPr>
                <w:rFonts w:ascii="仿宋_GB2312" w:hAnsi="仿宋_GB2312" w:eastAsia="仿宋_GB2312"/>
                <w:b w:val="0"/>
                <w:color w:val="000000"/>
                <w:sz w:val="32"/>
              </w:rPr>
              <w:t>集团总资产</w:t>
            </w:r>
          </w:p>
        </w:tc>
        <w:tc>
          <w:tcPr>
            <w:tcW w:type="dxa" w:w="2948"/>
          </w:tcPr>
          <w:p>
            <w:pPr>
              <w:spacing w:lineRule="exact" w:line="600"/>
              <w:jc w:val="center"/>
            </w:pPr>
            <w:r/>
            <w:r>
              <w:rPr>
                <w:rFonts w:ascii="仿宋_GB2312" w:hAnsi="仿宋_GB2312" w:eastAsia="仿宋_GB2312"/>
                <w:b w:val="0"/>
                <w:color w:val="000000"/>
                <w:sz w:val="32"/>
              </w:rPr>
              <w:t>超50亿元</w:t>
            </w:r>
          </w:p>
        </w:tc>
        <w:tc>
          <w:tcPr>
            <w:tcW w:type="dxa" w:w="2948"/>
          </w:tcPr>
          <w:p>
            <w:pPr>
              <w:spacing w:lineRule="exact" w:line="600"/>
              <w:jc w:val="center"/>
            </w:pPr>
            <w:r/>
            <w:r>
              <w:rPr>
                <w:rFonts w:ascii="仿宋_GB2312" w:hAnsi="仿宋_GB2312" w:eastAsia="仿宋_GB2312"/>
                <w:b w:val="0"/>
                <w:color w:val="000000"/>
                <w:sz w:val="32"/>
              </w:rPr>
              <w:t>集团官网及政府公开资料</w:t>
            </w:r>
          </w:p>
        </w:tc>
      </w:tr>
      <w:tr>
        <w:tc>
          <w:tcPr>
            <w:tcW w:type="dxa" w:w="2948"/>
          </w:tcPr>
          <w:p>
            <w:pPr>
              <w:spacing w:lineRule="exact" w:line="600"/>
              <w:jc w:val="center"/>
            </w:pPr>
            <w:r/>
            <w:r>
              <w:rPr>
                <w:rFonts w:ascii="仿宋_GB2312" w:hAnsi="仿宋_GB2312" w:eastAsia="仿宋_GB2312"/>
                <w:b w:val="0"/>
                <w:color w:val="000000"/>
                <w:sz w:val="32"/>
              </w:rPr>
              <w:t>员工人数</w:t>
            </w:r>
          </w:p>
        </w:tc>
        <w:tc>
          <w:tcPr>
            <w:tcW w:type="dxa" w:w="2948"/>
          </w:tcPr>
          <w:p>
            <w:pPr>
              <w:spacing w:lineRule="exact" w:line="600"/>
              <w:jc w:val="center"/>
            </w:pPr>
            <w:r/>
            <w:r>
              <w:rPr>
                <w:rFonts w:ascii="仿宋_GB2312" w:hAnsi="仿宋_GB2312" w:eastAsia="仿宋_GB2312"/>
                <w:b w:val="0"/>
                <w:color w:val="000000"/>
                <w:sz w:val="32"/>
              </w:rPr>
              <w:t>约7300人（集团）</w:t>
            </w:r>
          </w:p>
        </w:tc>
        <w:tc>
          <w:tcPr>
            <w:tcW w:type="dxa" w:w="2948"/>
          </w:tcPr>
          <w:p>
            <w:pPr>
              <w:spacing w:lineRule="exact" w:line="600"/>
              <w:jc w:val="center"/>
            </w:pPr>
            <w:r/>
            <w:r>
              <w:rPr>
                <w:rFonts w:ascii="仿宋_GB2312" w:hAnsi="仿宋_GB2312" w:eastAsia="仿宋_GB2312"/>
                <w:b w:val="0"/>
                <w:color w:val="000000"/>
                <w:sz w:val="32"/>
              </w:rPr>
              <w:t>东营市政府公开信息（2025年）</w:t>
            </w:r>
          </w:p>
        </w:tc>
      </w:tr>
      <w:tr>
        <w:tc>
          <w:tcPr>
            <w:tcW w:type="dxa" w:w="2948"/>
          </w:tcPr>
          <w:p>
            <w:pPr>
              <w:spacing w:lineRule="exact" w:line="600"/>
              <w:jc w:val="center"/>
            </w:pPr>
            <w:r/>
            <w:r>
              <w:rPr>
                <w:rFonts w:ascii="仿宋_GB2312" w:hAnsi="仿宋_GB2312" w:eastAsia="仿宋_GB2312"/>
                <w:b w:val="0"/>
                <w:color w:val="000000"/>
                <w:sz w:val="32"/>
              </w:rPr>
              <w:t>全钢子午胎产能</w:t>
            </w:r>
          </w:p>
        </w:tc>
        <w:tc>
          <w:tcPr>
            <w:tcW w:type="dxa" w:w="2948"/>
          </w:tcPr>
          <w:p>
            <w:pPr>
              <w:spacing w:lineRule="exact" w:line="600"/>
              <w:jc w:val="center"/>
            </w:pPr>
            <w:r/>
            <w:r>
              <w:rPr>
                <w:rFonts w:ascii="仿宋_GB2312" w:hAnsi="仿宋_GB2312" w:eastAsia="仿宋_GB2312"/>
                <w:b w:val="0"/>
                <w:color w:val="000000"/>
                <w:sz w:val="32"/>
              </w:rPr>
              <w:t>500万条/年</w:t>
            </w:r>
          </w:p>
        </w:tc>
        <w:tc>
          <w:tcPr>
            <w:tcW w:type="dxa" w:w="2948"/>
          </w:tcPr>
          <w:p>
            <w:pPr>
              <w:spacing w:lineRule="exact" w:line="600"/>
              <w:jc w:val="center"/>
            </w:pPr>
            <w:r/>
            <w:r>
              <w:rPr>
                <w:rFonts w:ascii="仿宋_GB2312" w:hAnsi="仿宋_GB2312" w:eastAsia="仿宋_GB2312"/>
                <w:b w:val="0"/>
                <w:color w:val="000000"/>
                <w:sz w:val="32"/>
              </w:rPr>
              <w:t>公开资料</w:t>
            </w:r>
          </w:p>
        </w:tc>
      </w:tr>
      <w:tr>
        <w:tc>
          <w:tcPr>
            <w:tcW w:type="dxa" w:w="2948"/>
          </w:tcPr>
          <w:p>
            <w:pPr>
              <w:spacing w:lineRule="exact" w:line="600"/>
              <w:jc w:val="center"/>
            </w:pPr>
            <w:r/>
            <w:r>
              <w:rPr>
                <w:rFonts w:ascii="仿宋_GB2312" w:hAnsi="仿宋_GB2312" w:eastAsia="仿宋_GB2312"/>
                <w:b w:val="0"/>
                <w:color w:val="000000"/>
                <w:sz w:val="32"/>
              </w:rPr>
              <w:t>半钢子午胎产能</w:t>
            </w:r>
          </w:p>
        </w:tc>
        <w:tc>
          <w:tcPr>
            <w:tcW w:type="dxa" w:w="2948"/>
          </w:tcPr>
          <w:p>
            <w:pPr>
              <w:spacing w:lineRule="exact" w:line="600"/>
              <w:jc w:val="center"/>
            </w:pPr>
            <w:r/>
            <w:r>
              <w:rPr>
                <w:rFonts w:ascii="仿宋_GB2312" w:hAnsi="仿宋_GB2312" w:eastAsia="仿宋_GB2312"/>
                <w:b w:val="0"/>
                <w:color w:val="000000"/>
                <w:sz w:val="32"/>
              </w:rPr>
              <w:t>2400万条/年</w:t>
            </w:r>
          </w:p>
        </w:tc>
        <w:tc>
          <w:tcPr>
            <w:tcW w:type="dxa" w:w="2948"/>
          </w:tcPr>
          <w:p>
            <w:pPr>
              <w:spacing w:lineRule="exact" w:line="600"/>
              <w:jc w:val="center"/>
            </w:pPr>
            <w:r/>
            <w:r>
              <w:rPr>
                <w:rFonts w:ascii="仿宋_GB2312" w:hAnsi="仿宋_GB2312" w:eastAsia="仿宋_GB2312"/>
                <w:b w:val="0"/>
                <w:color w:val="000000"/>
                <w:sz w:val="32"/>
              </w:rPr>
              <w:t>公开资料</w:t>
            </w:r>
          </w:p>
        </w:tc>
      </w:tr>
    </w:tbl>
    <w:p>
      <w:pPr>
        <w:spacing w:lineRule="exact" w:line="600" w:before="120" w:after="120"/>
        <w:ind w:firstLine="420"/>
        <w:jc w:val="left"/>
      </w:pPr>
      <w:r>
        <w:rPr>
          <w:rFonts w:ascii="楷体_GB2312" w:hAnsi="楷体_GB2312" w:eastAsia="楷体_GB2312"/>
          <w:b w:val="0"/>
          <w:color w:val="000000"/>
          <w:sz w:val="32"/>
        </w:rPr>
        <w:t>（二）简要分析</w:t>
      </w:r>
    </w:p>
    <w:p>
      <w:pPr>
        <w:spacing w:lineRule="exact" w:line="600" w:before="0" w:after="0"/>
        <w:ind w:firstLine="420"/>
        <w:jc w:val="both"/>
      </w:pPr>
      <w:r>
        <w:rPr>
          <w:rFonts w:ascii="仿宋_GB2312" w:hAnsi="仿宋_GB2312" w:eastAsia="仿宋_GB2312"/>
          <w:b w:val="0"/>
          <w:color w:val="000000"/>
          <w:sz w:val="32"/>
        </w:rPr>
        <w:t>公司营收规模居广饶轮胎产业集群前列，总资产与产能体量与行业地位匹配。由于单体企业财务数据未公开审计披露，资产负债率、毛利率、经营现金流等关键财务指标暂无法核实，建议投资尽调阶段取得企业经审计财务报表及银行授信资料后进一步分析偿债能力与盈利质量。</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民营有限责任公司，法定代表人张树林同时为控股股东，治理结构为典型家族/自然人控制型企业。集团层面设有较为完整的研发与管理体系，建有院士工作站、博士后创新实践基地及多个省级科研平台。</w:t>
      </w:r>
    </w:p>
    <w:p>
      <w:pPr>
        <w:spacing w:lineRule="exact" w:line="600" w:before="120" w:after="120"/>
        <w:ind w:firstLine="420"/>
        <w:jc w:val="left"/>
      </w:pPr>
      <w:r>
        <w:rPr>
          <w:rFonts w:ascii="楷体_GB2312" w:hAnsi="楷体_GB2312" w:eastAsia="楷体_GB2312"/>
          <w:b w:val="0"/>
          <w:color w:val="000000"/>
          <w:sz w:val="32"/>
        </w:rPr>
        <w:t>（二）人力资源</w:t>
      </w:r>
    </w:p>
    <w:p>
      <w:pPr>
        <w:spacing w:lineRule="exact" w:line="600" w:before="0" w:after="0"/>
        <w:ind w:firstLine="420"/>
        <w:jc w:val="both"/>
      </w:pPr>
      <w:r>
        <w:rPr>
          <w:rFonts w:ascii="仿宋_GB2312" w:hAnsi="仿宋_GB2312" w:eastAsia="仿宋_GB2312"/>
          <w:b w:val="0"/>
          <w:color w:val="000000"/>
          <w:sz w:val="32"/>
        </w:rPr>
        <w:t>集团拥有员工7300余人，其中工程技术人员与管理人员组成专业化团队；研发体系涵盖山东省企业技术中心、工业设计中心等机构。公司注重品牌建设与国际市场拓展，设有专业外贸团队，连续三次参加“山东轮胎品牌海外推广行动”。</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（一）规模与品牌优势</w:t>
      </w:r>
    </w:p>
    <w:p>
      <w:pPr>
        <w:spacing w:lineRule="exact" w:line="600" w:before="0" w:after="0"/>
        <w:ind w:firstLine="420"/>
        <w:jc w:val="both"/>
      </w:pPr>
      <w:r>
        <w:rPr>
          <w:rFonts w:ascii="仿宋_GB2312" w:hAnsi="仿宋_GB2312" w:eastAsia="仿宋_GB2312"/>
          <w:b w:val="0"/>
          <w:color w:val="000000"/>
          <w:sz w:val="32"/>
        </w:rPr>
        <w:t>集团为全球轮胎50强、山东省“十强”产业集群领军企业，6大自主品牌覆盖卡客车与乘用车全场景，2025年以849的品牌强度和16.5亿元的品牌价值，成为鲁北地区连续五年登上中国品牌价值评价榜单的轮胎企业。</w:t>
      </w:r>
    </w:p>
    <w:p>
      <w:pPr>
        <w:spacing w:lineRule="exact" w:line="600" w:before="120" w:after="120"/>
        <w:ind w:firstLine="420"/>
        <w:jc w:val="left"/>
      </w:pPr>
      <w:r>
        <w:rPr>
          <w:rFonts w:ascii="楷体_GB2312" w:hAnsi="楷体_GB2312" w:eastAsia="楷体_GB2312"/>
          <w:b w:val="0"/>
          <w:color w:val="000000"/>
          <w:sz w:val="32"/>
        </w:rPr>
        <w:t>（二）技术与创新优势</w:t>
      </w:r>
    </w:p>
    <w:p>
      <w:pPr>
        <w:spacing w:lineRule="exact" w:line="600" w:before="0" w:after="0"/>
        <w:ind w:firstLine="420"/>
        <w:jc w:val="both"/>
      </w:pPr>
      <w:r>
        <w:rPr>
          <w:rFonts w:ascii="仿宋_GB2312" w:hAnsi="仿宋_GB2312" w:eastAsia="仿宋_GB2312"/>
          <w:b w:val="0"/>
          <w:color w:val="000000"/>
          <w:sz w:val="32"/>
        </w:rPr>
        <w:t>主导或参与制定修订国家及行业标准32项，拥有专利300余项，建有山东省企业技术中心、工程研究中心、工业设计中心、院士工作站、博士后创新实践基地；率先推出新能源电动汽车轮胎、高端环保耐磨卡客车轮胎、缺气保用轮胎、赛事轮胎、超低滚阻轮胎等高端产品，具备持续迭代能力。</w:t>
      </w:r>
    </w:p>
    <w:p>
      <w:pPr>
        <w:spacing w:lineRule="exact" w:line="600" w:before="120" w:after="120"/>
        <w:ind w:firstLine="420"/>
        <w:jc w:val="left"/>
      </w:pPr>
      <w:r>
        <w:rPr>
          <w:rFonts w:ascii="楷体_GB2312" w:hAnsi="楷体_GB2312" w:eastAsia="楷体_GB2312"/>
          <w:b w:val="0"/>
          <w:color w:val="000000"/>
          <w:sz w:val="32"/>
        </w:rPr>
        <w:t>（三）绿色与智能制造优势</w:t>
      </w:r>
    </w:p>
    <w:p>
      <w:pPr>
        <w:spacing w:lineRule="exact" w:line="600" w:before="0" w:after="0"/>
        <w:ind w:firstLine="420"/>
        <w:jc w:val="both"/>
      </w:pPr>
      <w:r>
        <w:rPr>
          <w:rFonts w:ascii="仿宋_GB2312" w:hAnsi="仿宋_GB2312" w:eastAsia="仿宋_GB2312"/>
          <w:b w:val="0"/>
          <w:color w:val="000000"/>
          <w:sz w:val="32"/>
        </w:rPr>
        <w:t>集团为全国第一批（共四家）《绿色产品评价 轮胎》和《绿色产品认证实施规则 轮胎》制造企业，5G数字工厂投产标志其智能制造能力行业领先，并加入联合国全球契约组织，绿色低碳理念贯穿产品全生命周期。</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（一）行业周期性风险</w:t>
      </w:r>
    </w:p>
    <w:p>
      <w:pPr>
        <w:spacing w:lineRule="exact" w:line="600" w:before="0" w:after="0"/>
        <w:ind w:firstLine="420"/>
        <w:jc w:val="both"/>
      </w:pPr>
      <w:r>
        <w:rPr>
          <w:rFonts w:ascii="仿宋_GB2312" w:hAnsi="仿宋_GB2312" w:eastAsia="仿宋_GB2312"/>
          <w:b w:val="0"/>
          <w:color w:val="000000"/>
          <w:sz w:val="32"/>
        </w:rPr>
        <w:t>轮胎行业受宏观经济、汽车产销量、原材料（天然橡胶、炭黑等）价格波动及出口贸易政策影响显著，盈利存在周期性波动。</w:t>
      </w:r>
    </w:p>
    <w:p>
      <w:pPr>
        <w:spacing w:lineRule="exact" w:line="600" w:before="120" w:after="120"/>
        <w:ind w:firstLine="420"/>
        <w:jc w:val="left"/>
      </w:pPr>
      <w:r>
        <w:rPr>
          <w:rFonts w:ascii="楷体_GB2312" w:hAnsi="楷体_GB2312" w:eastAsia="楷体_GB2312"/>
          <w:b w:val="0"/>
          <w:color w:val="000000"/>
          <w:sz w:val="32"/>
        </w:rPr>
        <w:t>（二）债务与流动性风险</w:t>
      </w:r>
    </w:p>
    <w:p>
      <w:pPr>
        <w:spacing w:lineRule="exact" w:line="600" w:before="0" w:after="0"/>
        <w:ind w:firstLine="420"/>
        <w:jc w:val="both"/>
      </w:pPr>
      <w:r>
        <w:rPr>
          <w:rFonts w:ascii="仿宋_GB2312" w:hAnsi="仿宋_GB2312" w:eastAsia="仿宋_GB2312"/>
          <w:b w:val="0"/>
          <w:color w:val="000000"/>
          <w:sz w:val="32"/>
        </w:rPr>
        <w:t>公司作为大型重资产制造企业，扩产与智能化改造投入大（如5G数字工厂15.7亿元），对资金周转与融资能力要求较高；单体审计财报未披露，真实负债水平需尽调核实。公开信息显示2026年新增执行标的约8.9万元，规模较小但需关注或有负债。</w:t>
      </w:r>
    </w:p>
    <w:p>
      <w:pPr>
        <w:spacing w:lineRule="exact" w:line="600" w:before="120" w:after="120"/>
        <w:ind w:firstLine="420"/>
        <w:jc w:val="left"/>
      </w:pPr>
      <w:r>
        <w:rPr>
          <w:rFonts w:ascii="楷体_GB2312" w:hAnsi="楷体_GB2312" w:eastAsia="楷体_GB2312"/>
          <w:b w:val="0"/>
          <w:color w:val="000000"/>
          <w:sz w:val="32"/>
        </w:rPr>
        <w:t>（三）国际贸易与汇率风险</w:t>
      </w:r>
    </w:p>
    <w:p>
      <w:pPr>
        <w:spacing w:lineRule="exact" w:line="600" w:before="0" w:after="0"/>
        <w:ind w:firstLine="420"/>
        <w:jc w:val="both"/>
      </w:pPr>
      <w:r>
        <w:rPr>
          <w:rFonts w:ascii="仿宋_GB2312" w:hAnsi="仿宋_GB2312" w:eastAsia="仿宋_GB2312"/>
          <w:b w:val="0"/>
          <w:color w:val="000000"/>
          <w:sz w:val="32"/>
        </w:rPr>
        <w:t>产品销往全球150多个国家和地区，出口占比较高，易受反倾销、反补贴及汇率波动影响。</w:t>
      </w:r>
    </w:p>
    <w:p>
      <w:pPr>
        <w:spacing w:lineRule="exact" w:line="600" w:before="120" w:after="120"/>
        <w:ind w:firstLine="420"/>
        <w:jc w:val="left"/>
      </w:pPr>
      <w:r>
        <w:rPr>
          <w:rFonts w:ascii="黑体" w:hAnsi="黑体" w:eastAsia="黑体"/>
          <w:b w:val="0"/>
          <w:color w:val="000000"/>
          <w:sz w:val="32"/>
        </w:rPr>
        <w:t>七、融资需求</w:t>
      </w:r>
    </w:p>
    <w:p>
      <w:pPr>
        <w:spacing w:lineRule="exact" w:line="600" w:before="120" w:after="120"/>
        <w:ind w:firstLine="420"/>
        <w:jc w:val="left"/>
      </w:pPr>
      <w:r>
        <w:rPr>
          <w:rFonts w:ascii="楷体_GB2312" w:hAnsi="楷体_GB2312" w:eastAsia="楷体_GB2312"/>
          <w:b w:val="0"/>
          <w:color w:val="000000"/>
          <w:sz w:val="32"/>
        </w:rPr>
        <w:t>（一）融资背景</w:t>
      </w:r>
    </w:p>
    <w:p>
      <w:pPr>
        <w:spacing w:lineRule="exact" w:line="600" w:before="0" w:after="0"/>
        <w:ind w:firstLine="420"/>
        <w:jc w:val="both"/>
      </w:pPr>
      <w:r>
        <w:rPr>
          <w:rFonts w:ascii="仿宋_GB2312" w:hAnsi="仿宋_GB2312" w:eastAsia="仿宋_GB2312"/>
          <w:b w:val="0"/>
          <w:color w:val="000000"/>
          <w:sz w:val="32"/>
        </w:rPr>
        <w:t>集团持续推进高性能轮胎绿色5G数字工厂等智能化、绿色化升级项目，资本开支规模较大，存在中长期项目融资、设备融资租赁及流动资金贷款需求。</w:t>
      </w:r>
    </w:p>
    <w:p>
      <w:pPr>
        <w:spacing w:lineRule="exact" w:line="600" w:before="120" w:after="120"/>
        <w:ind w:firstLine="420"/>
        <w:jc w:val="left"/>
      </w:pPr>
      <w:r>
        <w:rPr>
          <w:rFonts w:ascii="楷体_GB2312" w:hAnsi="楷体_GB2312" w:eastAsia="楷体_GB2312"/>
          <w:b w:val="0"/>
          <w:color w:val="000000"/>
          <w:sz w:val="32"/>
        </w:rPr>
        <w:t>（二）融资建议</w:t>
      </w:r>
    </w:p>
    <w:p>
      <w:pPr>
        <w:spacing w:lineRule="exact" w:line="600" w:before="0" w:after="0"/>
        <w:ind w:firstLine="420"/>
        <w:jc w:val="both"/>
      </w:pPr>
      <w:r>
        <w:rPr>
          <w:rFonts w:ascii="仿宋_GB2312" w:hAnsi="仿宋_GB2312" w:eastAsia="仿宋_GB2312"/>
          <w:b w:val="0"/>
          <w:color w:val="000000"/>
          <w:sz w:val="32"/>
        </w:rPr>
        <w:t>建议对接政策性银行与商业银行的制造业中长期贷款、绿色信贷及设备更新改造专项再贷款；可探索供应链金融与跨境贸易融资；若具备条件，可研究集团整体或优质子公司股份制改造及资本市场路径。投资前须取得经审计财务报表以评估真实偿债能力。</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华盛橡胶有限公司是广饶轮胎产业集群的龙头骨干企业之一，规模体量大、品牌影响力强、技术创新与绿色制造能力突出，具备较强的行业竞争力与成长潜力；主要短板在于单体财务透明度不足、重资产扩张对资金依赖度高。</w:t>
      </w:r>
    </w:p>
    <w:p>
      <w:pPr>
        <w:spacing w:lineRule="exact" w:line="600" w:before="120" w:after="120"/>
        <w:ind w:firstLine="420"/>
        <w:jc w:val="left"/>
      </w:pPr>
      <w:r>
        <w:rPr>
          <w:rFonts w:ascii="楷体_GB2312" w:hAnsi="楷体_GB2312" w:eastAsia="楷体_GB2312"/>
          <w:b w:val="0"/>
          <w:color w:val="000000"/>
          <w:sz w:val="32"/>
        </w:rPr>
        <w:t>（二）发展展望与建议</w:t>
      </w:r>
    </w:p>
    <w:p>
      <w:pPr>
        <w:spacing w:lineRule="exact" w:line="600" w:before="0" w:after="0"/>
        <w:ind w:firstLine="420"/>
        <w:jc w:val="both"/>
      </w:pPr>
      <w:r>
        <w:rPr>
          <w:rFonts w:ascii="仿宋_GB2312" w:hAnsi="仿宋_GB2312" w:eastAsia="仿宋_GB2312"/>
          <w:b w:val="0"/>
          <w:color w:val="000000"/>
          <w:sz w:val="32"/>
        </w:rPr>
        <w:t>建议：一是推进规范治理与财务透明化，适时启动股份制改造；二是聚焦高端、绿色、智能产品，提升半钢与新能源轮胎占比；三是优化资本结构，控制扩产节奏与债务杠杆；四是深化国际化布局，分散单一市场风险。总体看好其在轮胎产业升级中的长期发展前景。</w:t>
      </w:r>
    </w:p>
    <w:p>
      <w:pPr>
        <w:spacing w:lineRule="exact" w:line="600" w:before="0" w:after="0"/>
        <w:jc w:val="left"/>
      </w:pPr>
      <w:r>
        <w:rPr>
          <w:rFonts w:ascii="仿宋_GB2312" w:hAnsi="仿宋_GB2312" w:eastAsia="仿宋_GB2312"/>
          <w:b w:val="0"/>
          <w:color w:val="000000"/>
          <w:sz w:val="28"/>
        </w:rPr>
        <w:t>数据来源说明：本报告数据来源于国家企业信用信息公示系统、天眼查/企查查企业公开信息、山东华盛橡胶集团官网（hstyre.com）、东营市人民政府及广饶县人民政府公开信息、搜狗百科企业词条及权威媒体公开报道。非上市企业未经审计的单体财务数据已如实标注来源与口径，未作虚构。</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