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山东德州乐陵（高端体育装备）特色产业集群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乐陵市友谊体育器材有限责任公司企业分析报告</w:t>
      </w:r>
    </w:p>
    <w:p>
      <w:pPr>
        <w:spacing w:lineRule="exact" w:line="600" w:before="0" w:after="0"/>
        <w:jc w:val="left"/>
      </w:pPr>
      <w:r>
        <w:rPr>
          <w:rFonts w:ascii="仿宋_GB2312" w:hAnsi="仿宋_GB2312" w:eastAsia="仿宋_GB2312"/>
          <w:b w:val="0"/>
          <w:color w:val="000000"/>
          <w:sz w:val="28"/>
        </w:rPr>
        <w:t>（本报告数据来源于天眼查、企查查、爱企查公开工商信息，国家体育总局射击射箭运动管理中心采购公告，以及公司介绍等公开渠道，统计时点截至2025年年报。公司为非上市自然人独资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乐陵市友谊体育器材有限责任公司（清册登记名“乐陵市友谊体育器材有限公司”）成立于2008年7月21日，登记机关为乐陵市市场监督管理局，登记状态为在营（开业）企业。法定代表人为刘士胜，统一社会信用代码91371481678122677K，注册地址位于山东省德州市乐陵市四号路东侧（公司介绍称坐落于乐陵市高新技术开发区）。</w:t>
      </w:r>
    </w:p>
    <w:p>
      <w:pPr>
        <w:spacing w:lineRule="exact" w:line="600" w:before="0" w:after="0"/>
        <w:ind w:firstLine="420"/>
        <w:jc w:val="both"/>
      </w:pPr>
      <w:r>
        <w:rPr>
          <w:rFonts w:ascii="仿宋_GB2312" w:hAnsi="仿宋_GB2312" w:eastAsia="仿宋_GB2312"/>
          <w:b w:val="0"/>
          <w:color w:val="000000"/>
          <w:sz w:val="32"/>
        </w:rPr>
        <w:t>公司注册资本2,000万元人民币，企业类型为有限责任公司（自然人独资）。股东信息显示刘士胜持股100%，为唯一股东及实际控制人。公司所属行业为文教、工美、体育和娱乐用品制造业（国标行业C2442专项运动器材及配件制造），人员规模小于50人，2025年报参保人数约33–35人，系小微企业、一般纳税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独资企业，由刘士胜全资持有并实际控制。历史上曾对外投资“山东赛美科体育器材有限公司”（持股60%，已注销）。公司主营聚焦射箭器材，兼营体育赛事策划、体育器材设备出租及进出口业务，未公开披露子公司或分公司信息。</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介绍称成立于1988年，是国内射箭行业的龙头企业；工商注册时间为2008年7月21日（注册资本2,000万元）。公司坐落于乐陵市高新技术开发区，占地面积26.8亩，历经多年发展成为集研发、生产、加工、销售于一体的专业射箭器材企业。近年来获国家级高新技术企业、省级专精特新中小企业、省级创新型中小企业等荣誉，并持续中标国家体育总局射箭器材采购项目。</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公司定位为国内最专业的射箭器材集团化企业，主营射箭器材的研发、生产与销售，是国内射箭行业的龙头企业。业务覆盖射箭器材全产业链，并向体育赛事服务延伸。</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公司业务以射箭器材制造销售为核心，辅以体育赛事策划组织、器材设备出租及进出口贸易。具体收入构成未公开披露，估计以弓类及场地器材销售为主。</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弓类（比赛类反曲弓、训练用反曲弓、比赛类复合弓、狩猎类复合弓、传统弓）、弓用配件及射箭防护用品；场地器材（箭靶、靶架、靶纸、靶套、箭道用品、电子计时器、计分器、射箭无绳发送器等先进电子比赛用品）。公司拥有多项自主知识产权与商标专利权。</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以专业射箭机构、学校及体育系统为主。公开中标信息显示，2026年上半年公司连续中标国家体育总局射击射箭运动管理中心射箭器材采购、进口射箭器材采购，以及多地体育中学、业余军事体育学校射箭器材采购项目，体现其在专业射箭器材领域的服务能力与渠道。</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公司生产所需原材料包括碳纤维、铝合金、木材、电子元件等，具体供应商及采购金额未公开披露。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射箭器材相关知识产权：据爱企查，拥有7个注册商标、46个专利信息、5个软件著作权；获国家级高新技术企业、省级专精特新中小企业、省级创新型中小企业认定。公司具备货物进出口与技术进出口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销售渠道包括专业射箭器材招投标（国家及地方体育系统）、经销代理及进出口贸易（网址youyisports.com）。公司作为细分龙头，在专业射箭器材政府采购市场具有稳定中标能力。</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公司年营业额、产能及市场占有率数据未公开披露。其在国内射箭器材细分领域处于龙头地位，但整体营收规模相对有限（参保人数不足50人）。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自然人独资企业，财务数据未公开披露。据国家企业信用信息公示系统年报，企业资产状况信息（资产总额、销售收入、净利润、负债总额等）均选择“不公示”。因此无法取得近三年经审计或披露的会计数据，本节以如实标注为原则，不进行数字编造。</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盈利能力数据未公开披露。公司持续中标国家级射箭器材采购，反映其具有稳定的专业客户与正向经营能力，但具体毛利率、净利率不可得。</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资产质量数据未公开披露。注册资本2,000万元已实缴（部分平台显示实缴50万元，工商年报与第三方平台存在差异，以登记机关公示为准），资产结构不明。</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负债与偿债能力数据未公开披露。未查询到公司被列失信被执行人信息，经营信誉总体正常。</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作为射箭器材细分龙头，公司在专业射箭领域具备技术与资质优势，但整体规模远小于同集群的泰山体育集团。因财务未公开，难以进行量化对标。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公司为自然人独资有限责任公司，由刘士胜全资持股并任法定代表人，治理结构为典型的家族/个人独资企业模式，未设董事会，决策集中。</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法定代表人、实际控制人刘士胜，关联企业5家。公司主要人员信息未完全公开。</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作为小微企业，内控制度以创始人管控为主，具体制度未公开披露。公司通过高新技术企业、专精特新等认定，反映其基本研发与质量管理规范。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2025年报参保人数约33–35人（平台显示人员规模小于50人），公司介绍称拥有员工260人、技术骨干85人（含生产外包口径），两者口径不一致。公司拥有46项专利，研发与技工队伍为业务核心。</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细分龙头地位：国内射箭器材行业龙头，长期服务国家体育总局等专业客户；二是技术与知识产权：46项专利、7个商标、5个软件著作权，具备自主设计与制造能力；三是资质壁垒：国家级高新技术企业、省级专精特新与创新型中小企业；四是客户黏性：持续中标国家级射箭器材采购，形成专业渠道壁垒。</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抗风险能力弱：参保不足50人，营收规模有限，抗周期能力较弱。二是客户集中风险：高度依赖体育系统及学校采购，受财政预算与采购周期影响大。三是合规风险：据爱企查公开信息，公司曾涉及1次行政处罚、1件立案信息、1起涉诉关系，需关注履约与产品质量合规。四是财务不透明：非上市独资企业，外部难以评估真实经营与偿债状况。公司已通过专精特新认定、持续中标与知识产权布局应对竞争。</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细分领域“专精特新”小微企业，公司与山东投资的协同以小额、灵活工具为主：一是供应链金融/保理，针对其政府采购中标后的应收账款提供保理融资，缓解回款周期压力；二是小额贷款，支持其射箭器材智能化产线技改；三是融资租赁，支持检测、数控等生产设备更新。建议以“小额、短期、应收账款质押”为主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乐陵市友谊体育器材有限责任公司是国内射箭器材细分龙头，拥有较扎实的知识产权与专业客户基础，但整体规模小、财务不透明、抗风险能力有限。综合判断：公司在其细分赛道具备差异化竞争力，适合作为集群“专精特新”补链企业。</w:t>
      </w:r>
    </w:p>
    <w:p>
      <w:pPr>
        <w:spacing w:lineRule="exact" w:line="600" w:before="0" w:after="0"/>
        <w:ind w:firstLine="420"/>
        <w:jc w:val="both"/>
      </w:pPr>
      <w:r>
        <w:rPr>
          <w:rFonts w:ascii="仿宋_GB2312" w:hAnsi="仿宋_GB2312" w:eastAsia="仿宋_GB2312"/>
          <w:b w:val="0"/>
          <w:color w:val="000000"/>
          <w:sz w:val="32"/>
        </w:rPr>
        <w:t>发展展望：随着全民健身与射箭运动普及、学校体育器材升级，专业射箭器材需求有望稳步增长。挑战在于规模瓶颈、客户集中与合规管理。</w:t>
      </w:r>
    </w:p>
    <w:p>
      <w:pPr>
        <w:spacing w:lineRule="exact" w:line="600" w:before="0" w:after="0"/>
        <w:ind w:firstLine="420"/>
        <w:jc w:val="both"/>
      </w:pPr>
      <w:r>
        <w:rPr>
          <w:rFonts w:ascii="仿宋_GB2312" w:hAnsi="仿宋_GB2312" w:eastAsia="仿宋_GB2312"/>
          <w:b w:val="0"/>
          <w:color w:val="000000"/>
          <w:sz w:val="32"/>
        </w:rPr>
        <w:t>建议：山东投资可将其纳入“专精特新”小贷与保理服务对象，优先以政府采购应收账款保理切入；投前须补充财务报表与实控人连带担保，强化信用风险管控，并关注其行政处罚整改进展。</w:t>
      </w:r>
    </w:p>
    <w:p>
      <w:pPr>
        <w:spacing w:lineRule="exact" w:line="600" w:before="0" w:after="0"/>
        <w:jc w:val="left"/>
      </w:pPr>
      <w:r>
        <w:rPr>
          <w:rFonts w:ascii="仿宋_GB2312" w:hAnsi="仿宋_GB2312" w:eastAsia="仿宋_GB2312"/>
          <w:b w:val="0"/>
          <w:color w:val="000000"/>
          <w:sz w:val="28"/>
        </w:rPr>
        <w:t>数据来源说明：1）天眼查（tianyancha.com/company/1229130863）工商与股权信息；2）企查查（qcc.com）工商、资质与中标信息；3）爱企查（aiqicha.com）工商、知识产权与风险信息；4）国家体育总局射击射箭运动管理中心射箭器材采购中标公告（2026年）；5）公司介绍网页（youyisports.com相关）。公司财务数据未公开披露，本节未编造任何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