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山东德州乐陵（高端体育装备）特色产业集群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山东泰山体育器材有限公司企业分析报告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水滴信用、公司官网（taishansports.com.cn）及公开工商信息，统计时点截至2025年年报。公司为非上市法人独资企业，单体财务数据未公开披露；作为泰山体育集团关联企业，可参考集团披露数据，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泰山体育器材有限公司成立于2010年7月15日，登记机关为乐陵市市场监督管理局，登记状态为在营（开业）企业。法定代表人为张伟，统一社会信用代码913714815589277459，注册地址位于乐陵市云红北大街东侧（经济技术开发区泰山体育路1号）。</w:t>
      </w:r>
    </w:p>
    <w:p>
      <w:pPr>
        <w:spacing w:lineRule="exact" w:line="600" w:before="0" w:after="0"/>
        <w:ind w:firstLine="420"/>
        <w:jc w:val="both"/>
      </w:pPr>
      <w:r>
        <w:rPr>
          <w:rFonts w:ascii="仿宋_GB2312" w:hAnsi="仿宋_GB2312" w:eastAsia="仿宋_GB2312"/>
          <w:b w:val="0"/>
          <w:color w:val="000000"/>
          <w:sz w:val="32"/>
        </w:rPr>
        <w:t>公司注册资本5,000万元人民币，实缴资本5,000万元人民币，企业类型为有限责任公司（非自然人投资或控股的法人独资），即由法人股东100%持股。所属行业为文教、工美、体育和娱乐用品制造业（C2449其他体育用品制造）。2025年报参保人数约269–277人，人员规模100–499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法人独资企业，对外投资23家企业、控制企业22家、设有12家分支机构，是泰山体育体系内重要的器材制造与赛事服务运营主体。其与泰山体育产业集团有限公司同处乐陵市泰山体育路1号，受同一实际控制人卞志良体系控制（据英派斯公告，上市公司向山东泰山体育器材有限公司采购/销售器材，构成关联往来）。</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2010年设立，系泰山体育体系内专注竞技器材与赛事服务的核心企业。官网显示，公司凭借业内首创的CD2S（咨询、设计、供应、服务）大型赛事服务模式，已成功服务多届奥运会、亚运会、大运会、全运会等数千次国内外顶级专业赛事，保持“零失误、零故障、零投诉”。公司获高新技术企业认定（证书号GR202237003137、GR201937001117）。</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全球顶级赛事运营服务商、体育全产业链一站式解决方案提供商”，主营全系列高端竞技体育器材及辅助训练器材、全民健身器材、智慧校园器材、军警体能训练器材、青少年体适能器材、多功能运动垫及赛事运营和服务。</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业务涵盖竞技器材制造（体操、举摔柔、拳跆空、武术、田径、球类）、全民健身器材、专业运动垫、冰雪装备及赛事运营服务。具体收入构成未公开披露，估计以器材销售与赛事服务并重。</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和服务包括全系列竞技体育器材及辅助训练器材、全民健身器材、专业运动垫及民用休闲垫、冰雪装备产品以及赛事运营和服务。产品覆盖体操、举重摔跤柔道、拳击跆拳道空手道、武术、田径、球类、全民健身、冰雪、儿童垫子等类别。</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包括国际奥委会、国际大学生体育联合会及国际体操联合会（FIG官方合作伙伴）、国际柔道联合会、国际武术联合会（IWUF全球供应商）、国际摔跤联合会（UWW全球供应商）、世界空手道联盟、国际篮联、国际拳联、世界田径等国际单项体育协会，以及国内外赛事主办方、学校与军警单位。</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生产所需原材料（钢材、复合材料、电子元件等）具体供应商未公开披露。公司与关联方泰山体育产业集团存在采购/销售往来。</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规划建设年产200万套智能健身包项目，推动由传统离散制造向智慧制造转型。持有高危险性体育运动（滑雪）许可、检验检测服务、技术/货物进出口等许可项目，以及第二类医疗器械销售资质。获高新技术企业认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在北京、上海、深圳、西安、济南、青岛等地设有分公司和办事处，在美国、日本、法国设有国际分公司和研发中心，营销服务网络遍布200多个国家和地区。销售以赛事直销、政府及学校采购、海外经销结合。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公司单体营收、产能及市占率数据未公开披露。作为泰山体育核心器材主体，在竞技体操、武术等器材领域具备国际认证与领先份额。</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法人独资企业，单体经审计财务数据未公开披露。可参考同一实际控制人体系下的泰山体育产业集团有限公司披露数据（2024年营收约115.36亿元、净利润约6.92亿元；2025年营收约117.64亿元、净利润约6.98亿元，未经审计），但该类数据不能直接等同于本公司单体数据，仅供分析参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盈利能力数据未公开披露。参考集团口径，器材与赛事服务业务具备稳定盈利，但本公司单体净利率不可得。</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资产质量数据未公开披露。公司实缴资本5,000万元，对外投资活跃（控制22家企业），资产以长期股权与投资为主。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与同集群泰山体育产业集团为同一体系，业务互补（器材制造与赛事运营）；因财务未公开，量化对标受限。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公司为法人独资企业，设法定代表人张伟，治理结构由法人股东主导，未设董事会（或未公开）。</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法定代表人张伟。具体高管团队未完全公开。公司招聘信息显示推行五险、高温补贴及人才补助（本科500元/月、硕士4500元/月、博士7000元/月等）。</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公司设12家分支机构、控制22家企业，集团化管控特征明显。内控制度未公开披露。</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2025年报参保人数约269–277人，人员规模100–499人，研发、生产、国际销售与赛事服务团队完备。</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国际认证与协会合作壁垒：与国际体操联合会等多个国际单项体育协会建立官方合作伙伴/全球供应商关系，产品获大量国际认证；二是赛事服务经验：“零失误”服务数千次顶级赛事的CD2S模式；三是集团协同：与泰山体育产业集团共享研发、渠道与品牌；四是技术与资质：高新技术企业，智能健身包等智能制造升级。</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法律与合规风险：据水滴信用公开信息，公司自身风险3条、关联风险3条、司法案件36件、裁判文书46件，需关注履约与产品质量责任。二是客户与回款风险：赛事与政府采购回款周期长。三是财务不透明：单体财务未披露，外部评估受限。四是集团关联风险：与泰山体育集团关联往来，需防范连带风险。公司已通过国际认证、内控规范与关联交易披露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泰山体育体系内核心器材主体，协同方式与泰山体育产业集团类似：一是供应链金融，针对其全球采购与下游经销商应收账款提供保理；二是融资租赁，支持年产200万套智能健身包等智能制造设备购置；三是产业基金，支持冰雪、智慧体育产线升级。建议以集团整体信用为参照、以设备融资租赁与保理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泰山体育器材有限公司是泰山体育体系内专注竞技器材与赛事服务的核心企业，国际认证与赛事服务经验构成显著壁垒，但单体财务不透明且存在一定司法案件。综合判断：公司具备较强专业竞争力，适合作为集群骨干协同对象。</w:t>
      </w:r>
    </w:p>
    <w:p>
      <w:pPr>
        <w:spacing w:lineRule="exact" w:line="600" w:before="0" w:after="0"/>
        <w:ind w:firstLine="420"/>
        <w:jc w:val="both"/>
      </w:pPr>
      <w:r>
        <w:rPr>
          <w:rFonts w:ascii="仿宋_GB2312" w:hAnsi="仿宋_GB2312" w:eastAsia="仿宋_GB2312"/>
          <w:b w:val="0"/>
          <w:color w:val="000000"/>
          <w:sz w:val="32"/>
        </w:rPr>
        <w:t>发展展望：据公司规划，将建设年产200万套智能健身包项目，向数字化、智慧化现代智能工厂转型。挑战在于财务透明度、合规与回款。</w:t>
      </w:r>
    </w:p>
    <w:p>
      <w:pPr>
        <w:spacing w:lineRule="exact" w:line="600" w:before="0" w:after="0"/>
        <w:ind w:firstLine="420"/>
        <w:jc w:val="both"/>
      </w:pPr>
      <w:r>
        <w:rPr>
          <w:rFonts w:ascii="仿宋_GB2312" w:hAnsi="仿宋_GB2312" w:eastAsia="仿宋_GB2312"/>
          <w:b w:val="0"/>
          <w:color w:val="000000"/>
          <w:sz w:val="32"/>
        </w:rPr>
        <w:t>建议：山东投资协同以供应链金融与融资租赁为主，投前须取得单体财务数据并评估司法案件影响，以集团关联信用为风控参考。</w:t>
      </w:r>
    </w:p>
    <w:p>
      <w:pPr>
        <w:spacing w:lineRule="exact" w:line="600" w:before="0" w:after="0"/>
        <w:jc w:val="left"/>
      </w:pPr>
      <w:r>
        <w:rPr>
          <w:rFonts w:ascii="仿宋_GB2312" w:hAnsi="仿宋_GB2312" w:eastAsia="仿宋_GB2312"/>
          <w:b w:val="0"/>
          <w:color w:val="000000"/>
          <w:sz w:val="28"/>
        </w:rPr>
        <w:t>数据来源说明：1）天眼查（tianyancha.com/company/2316170252）工商信息；2）水滴信用（shuidi.cn）股权、风险与社保信息；3）企查查（qcc.com）工商与资质信息；4）公司官网（taishansports.com.cn）产品、新闻与招聘信息；5）青岛英派斯健康科技股份有限公司关联交易公告（作为关联方参考集团财务）。单体财务数据未公开披露，未编造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