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山东德州宁津县(健身器材)特色产业集群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山东宝德龙健身器材有限公司企业分析报告</w:t>
      </w:r>
    </w:p>
    <w:p>
      <w:pPr>
        <w:spacing w:lineRule="exact" w:line="600" w:before="0" w:after="0"/>
        <w:jc w:val="left"/>
      </w:pPr>
      <w:r>
        <w:rPr>
          <w:rFonts w:ascii="仿宋_GB2312" w:hAnsi="仿宋_GB2312" w:eastAsia="仿宋_GB2312"/>
          <w:b w:val="0"/>
          <w:color w:val="000000"/>
          <w:sz w:val="28"/>
        </w:rPr>
        <w:t>（本报告依据宁津县政府门户网站公开报道、宝德龙（BODY STRONG）官网及品牌资料、天眼查/企查查工商登记与公开信息整理，统计时点截至最新公开披露信息。该公司为非上市企业，完整财务报表未公开披露，凡涉及财务数据处均已如实标注口径与来源，未作任何推算或虚构。部分数据（占地350亩/650亩、专利60余项/128项）在不同公开口径间存在差异，已分别列示。）</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宁津县地处山东省德州市，被誉为“中国健身器材生产基地”，健身器材产业是宁津县特色产业集群的支柱板块，也是山东省体育用品制造领域的一张名片。集群以商用健身器材整机及零部件制造为核心，形成了从钢材下料、管材加工、焊接、喷涂到整机组装的完整产业链，配套企业高度集聚，本地配套率较高。经过多年发展，宁津聚集了迈宝赫、大胡子（罗赛罗德）、宝德龙等一批在国内商用健身器材领域具有较高知名度的骨干企业，并培育出多个省级“专精特新”、高新技术与智能工厂企业。</w:t>
      </w:r>
    </w:p>
    <w:p>
      <w:pPr>
        <w:spacing w:lineRule="exact" w:line="600" w:before="0" w:after="0"/>
        <w:ind w:firstLine="420"/>
        <w:jc w:val="both"/>
      </w:pPr>
      <w:r>
        <w:rPr>
          <w:rFonts w:ascii="仿宋_GB2312" w:hAnsi="仿宋_GB2312" w:eastAsia="仿宋_GB2312"/>
          <w:b w:val="0"/>
          <w:color w:val="000000"/>
          <w:sz w:val="32"/>
        </w:rPr>
        <w:t>宁津健身器材产品涵盖商用跑步机、动感单车、力量训练器、椭圆机、磁控车等全系列商用健身器材，广泛应用于健身俱乐部、酒店、企事业及军警院校等场景，畅销国内并远销全球上百个国家和地区。近年来，随着《全民健身计划》深入实施与居民健康消费升级，商用与家用健身器材需求持续增长；同时，集群企业普遍推进“机器换人”、智能化改造与自主品牌建设，向高端化、智能化、品牌化方向升级，并加快“走出去”步伐，通过海外并购、国际参展与跨境电商拓展全球市场。本报告所分析的三家企业，分别代表了宁津健身器材集群不同梯队与差异化定位。</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山东宝德龙健身器材有限公司（品牌BODY STRONG/宝德龙，以下简称“宝德龙”或“公司”）成立于2001年12月3日，统一社会信用代码为91371422755437112B，登记机关为宁津县市场监督管理局，企业登记状态为存续。注册地址为山东省德州市宁津县阳光大街与新乐路交叉口北200米路西（经营场所为长江大街与惠宁南街交叉口南300米路东）。</w:t>
      </w:r>
    </w:p>
    <w:p>
      <w:pPr>
        <w:spacing w:lineRule="exact" w:line="600" w:before="0" w:after="0"/>
        <w:ind w:firstLine="420"/>
        <w:jc w:val="both"/>
      </w:pPr>
      <w:r>
        <w:rPr>
          <w:rFonts w:ascii="仿宋_GB2312" w:hAnsi="仿宋_GB2312" w:eastAsia="仿宋_GB2312"/>
          <w:b w:val="0"/>
          <w:color w:val="000000"/>
          <w:sz w:val="32"/>
        </w:rPr>
        <w:t>公司注册资本5,000万元人民币，实缴资本5,000万元人民币，企业类型为有限责任公司（自然人投资或控股）。据天眼查/企查查股权信息，股东为赵世晶（持股约91%）与赵之富（持股约9%），法定代表人赵世晶。2025年工商参保人数167人，人员规模标注100—499人。曾用名为宁津县久龙体育用品有限公司。</w:t>
      </w:r>
    </w:p>
    <w:p>
      <w:pPr>
        <w:spacing w:lineRule="exact" w:line="600" w:before="0" w:after="0"/>
        <w:ind w:firstLine="420"/>
        <w:jc w:val="both"/>
      </w:pPr>
      <w:r>
        <w:rPr>
          <w:rFonts w:ascii="仿宋_GB2312" w:hAnsi="仿宋_GB2312" w:eastAsia="仿宋_GB2312"/>
          <w:b w:val="0"/>
          <w:color w:val="000000"/>
          <w:sz w:val="32"/>
        </w:rPr>
        <w:t>经营范围涵盖体育用品及器材制造、批发、零售，康复辅具适配服务，电力电子元器件制造与销售，机械零件加工与销售，货物进出口等，业务向康复辅具等健康装备延伸。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按“研发—生产—销售—售后”一体化架构运营，设有研发、生产、质量、销售（含渠道招标部）与售后服务等职能体系，并在全国各省份配备专业销售团队与区域售后人员。公司未公开披露内部董事会、监事会及高管完整名单。公开信息显示其对外投资5家企业，反映适度对外扩张。</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2001年12月，公司前身宁津县久龙体育用品有限公司在宁津登记设立，后更名并确立商用健身器材主业。</w:t>
      </w:r>
    </w:p>
    <w:p>
      <w:pPr>
        <w:spacing w:lineRule="exact" w:line="600" w:before="0" w:after="0"/>
        <w:ind w:firstLine="420"/>
        <w:jc w:val="both"/>
      </w:pPr>
      <w:r>
        <w:rPr>
          <w:rFonts w:ascii="仿宋_GB2312" w:hAnsi="仿宋_GB2312" w:eastAsia="仿宋_GB2312"/>
          <w:b w:val="0"/>
          <w:color w:val="000000"/>
          <w:sz w:val="32"/>
        </w:rPr>
        <w:t>经过20余年发展，宝德龙成长为国内首批专营商用健身器材的骨干企业之一，现拥有两个自有生产厂区，占地约350亩（部分资料称650亩），提供力量设备、动感单车、商用椭圆机、磁控车、跑步机等300多种全套商用健身器材。</w:t>
      </w:r>
    </w:p>
    <w:p>
      <w:pPr>
        <w:spacing w:lineRule="exact" w:line="600" w:before="0" w:after="0"/>
        <w:ind w:firstLine="420"/>
        <w:jc w:val="both"/>
      </w:pPr>
      <w:r>
        <w:rPr>
          <w:rFonts w:ascii="仿宋_GB2312" w:hAnsi="仿宋_GB2312" w:eastAsia="仿宋_GB2312"/>
          <w:b w:val="0"/>
          <w:color w:val="000000"/>
          <w:sz w:val="32"/>
        </w:rPr>
        <w:t>2019年，公司成立渠道招标部，专门服务机关、企事业单位、军警、消防、公检法、学校等招标事宜，并成功中标超2000家大型企事业单位。公司通过德州市跨境贸易高水平开放试点，建行德州分行2025年为其办理试点业务584笔、金额达1,338万美元，跨境结算便利化成效显著。</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公司战略定位为“国内商用健身器材领航企业与全场景健康装备服务商”，20余年专注商用健身器材研发、生产、销售、售后一体化。</w:t>
      </w:r>
    </w:p>
    <w:p>
      <w:pPr>
        <w:spacing w:lineRule="exact" w:line="600" w:before="0" w:after="0"/>
        <w:ind w:firstLine="420"/>
        <w:jc w:val="both"/>
      </w:pPr>
      <w:r>
        <w:rPr>
          <w:rFonts w:ascii="仿宋_GB2312" w:hAnsi="仿宋_GB2312" w:eastAsia="仿宋_GB2312"/>
          <w:b w:val="0"/>
          <w:color w:val="000000"/>
          <w:sz w:val="32"/>
        </w:rPr>
        <w:t>主营业务为商用健身器材的研发制造与销售，产品涵盖力量设备、动感单车、商用椭圆机、磁控车、跑步机等300多种全套商用健身器材，并提供商用健身房、企事业、学校、酒店地产等全场景健身器材解决方案与招标服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源于商用健身器材整机销售、招投标（政企军警院校）业务及售后配件服务。公司未公开披露分产品收入构成与年度营收规模。可确认的公开经营口径：产品300多种、两个生产厂区、占地约350亩、中标超2000家大型企事业单位、跨境结算1,338万美元（2025年建行试点口径）。</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第一类为商用力量设备，包括自由重量、挂片与综合力量器材，是公司传统优势品类。</w:t>
      </w:r>
    </w:p>
    <w:p>
      <w:pPr>
        <w:spacing w:lineRule="exact" w:line="600" w:before="0" w:after="0"/>
        <w:ind w:firstLine="420"/>
        <w:jc w:val="both"/>
      </w:pPr>
      <w:r>
        <w:rPr>
          <w:rFonts w:ascii="仿宋_GB2312" w:hAnsi="仿宋_GB2312" w:eastAsia="仿宋_GB2312"/>
          <w:b w:val="0"/>
          <w:color w:val="000000"/>
          <w:sz w:val="32"/>
        </w:rPr>
        <w:t>第二类为商用有氧器械，包括跑步机、动感单车、椭圆机、磁控车等。</w:t>
      </w:r>
    </w:p>
    <w:p>
      <w:pPr>
        <w:spacing w:lineRule="exact" w:line="600" w:before="0" w:after="0"/>
        <w:ind w:firstLine="420"/>
        <w:jc w:val="both"/>
      </w:pPr>
      <w:r>
        <w:rPr>
          <w:rFonts w:ascii="仿宋_GB2312" w:hAnsi="仿宋_GB2312" w:eastAsia="仿宋_GB2312"/>
          <w:b w:val="0"/>
          <w:color w:val="000000"/>
          <w:sz w:val="32"/>
        </w:rPr>
        <w:t>第三类为全场景解决方案，面向商用健身房、企事业、学校、酒店地产及军警消防等，由渠道招标部专项对接。</w:t>
      </w:r>
    </w:p>
    <w:p>
      <w:pPr>
        <w:spacing w:lineRule="exact" w:line="600" w:before="0" w:after="0"/>
        <w:ind w:firstLine="420"/>
        <w:jc w:val="both"/>
      </w:pPr>
      <w:r>
        <w:rPr>
          <w:rFonts w:ascii="仿宋_GB2312" w:hAnsi="仿宋_GB2312" w:eastAsia="仿宋_GB2312"/>
          <w:b w:val="0"/>
          <w:color w:val="000000"/>
          <w:sz w:val="32"/>
        </w:rPr>
        <w:t>第四类为售后与配件服务，实行区域责任制，全国各区域配备售后人员常驻，建立售后配件库，形成服务性收入与黏性。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覆盖商用健身中心、星级酒店、企事业单位、军警消防、公检法、学校等，已为10万家以上商用健身中心、星级酒店及企事业单位提供服务，中标超2000家大型企事业单位。产品远销欧美、中东、大洋洲、东南亚、非洲等150多个国家和地区，客户国际化、分散化程度高。公司未公开披露前五大客户与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公司主要采购钢材、管材、电机、电子元器件及涂装材料，宁津本地产业链配套完备，有利于就近采购与成本管控。公司未公开披露供应商名称与采购集中度。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公司拥有两个自有生产厂区、占地约350亩（部分资料650亩），投入3,000余万元采购世界先进生产制造设备，生产工艺在国内处于领先地位。知识产权方面，公司拥有60多项国家专利（企查查口径为专利128项、商标34项、著作权4项），研发与产学研合作体系较为健全。</w:t>
      </w:r>
    </w:p>
    <w:p>
      <w:pPr>
        <w:spacing w:lineRule="exact" w:line="600" w:before="0" w:after="0"/>
        <w:ind w:firstLine="420"/>
        <w:jc w:val="both"/>
      </w:pPr>
      <w:r>
        <w:rPr>
          <w:rFonts w:ascii="仿宋_GB2312" w:hAnsi="仿宋_GB2312" w:eastAsia="仿宋_GB2312"/>
          <w:b w:val="0"/>
          <w:color w:val="000000"/>
          <w:sz w:val="32"/>
        </w:rPr>
        <w:t>资质方面，公司获“中国著名品牌”“山东省著名品牌”“中国健身器材行业十大品牌”“中国诚信企业”“全国质量诚信成员企业”等荣誉，产品通过ISO9001质量体系、欧盟CE、ISO14001、OHS18001等认证，部分产品通过NSCC国体认证，并投保产品责任险。</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公司采取“全国销售团队直销+渠道招标+出口+电商”的组合渠道，2019年设立渠道招标部专门拓展政企军警院校招标市场，并远销150多个国家和地区，渠道结构均衡、抗单一市场波动能力较强。</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可公开引用的经营数据：注册资本5,000万元、两个厂区占地约350亩、产品300多种、专利60余项（或128项）、服务10万+商用健身中心、中标超2000家大型企事业、出口150多国、2025年跨境结算1,338万美元。</w:t>
      </w:r>
    </w:p>
    <w:p>
      <w:pPr>
        <w:spacing w:lineRule="exact" w:line="600" w:before="0" w:after="0"/>
        <w:ind w:firstLine="420"/>
        <w:jc w:val="both"/>
      </w:pPr>
      <w:r>
        <w:rPr>
          <w:rFonts w:ascii="仿宋_GB2312" w:hAnsi="仿宋_GB2312" w:eastAsia="仿宋_GB2312"/>
          <w:b w:val="0"/>
          <w:color w:val="000000"/>
          <w:sz w:val="32"/>
        </w:rPr>
        <w:t>市场地位方面，公司被誉为“国内商用健身器材领航企业”“康体产业领航企业”，“宝德龙BODY STRONG”为国内备受认可的商用健身器材品牌，在商用与招投标市场具有稳固地位。公司未公开披露具体市场占有率数据。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企业，未在公开信息平台披露定期报告，完整财务报表未公开。经检索政府门户、官网与工商信息平台，仅能获取零散口径（如注册资本5,000万元、跨境结算1,338万美元），未能获取连续年度的营业收入、净利润、毛利率、资产负债率、经营活动现金流量净额等财务指标。据此，本报告如实标注：财务数据未公开披露，不进行任何推算。</w:t>
      </w:r>
    </w:p>
    <w:p>
      <w:pPr>
        <w:spacing w:lineRule="exact" w:line="600" w:before="0" w:after="0"/>
        <w:ind w:firstLine="420"/>
        <w:jc w:val="both"/>
      </w:pPr>
      <w:r>
        <w:rPr>
          <w:rFonts w:ascii="仿宋_GB2312" w:hAnsi="仿宋_GB2312" w:eastAsia="仿宋_GB2312"/>
          <w:b w:val="0"/>
          <w:color w:val="000000"/>
          <w:sz w:val="32"/>
        </w:rPr>
        <w:t>可确认的量化信息仅有：注册资本5,000万元（实缴同）、2025年参保167人、产品300多种、专利60余项（或128项）、占地约350亩、2025年跨境结算1,338万美元等。</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在缺乏公开利润表的前提下，仅作定性判断。商用健身器材毛利率受钢材价格与渠道结构影响，公司招投标（政企）业务占比高，通常毛利率与回款稳定性优于纯经销模式，但具体盈利水平不详。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公司资产以两个厂区土地厂房、生产装置、存货与应收账款为主，自有厂区抵押物价值较好。存货主要为钢材与整机成品，存在价格与迭代跌价风险。</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实缴资本5,000万元、参保167人，规模中等；2025年跨境结算1,338万美元反映其出口与外汇业务活跃，具备一定国际结算与银行合作基础。资产负债率未公开，公开信息未显示重大失信记录（以司法机关权威查询为准）。</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现金流量表未公开。定性看，招投标与B端销售存在账期，经营性现金流受回款影响；出口业务带来外币流入，存在汇率管理需求。</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可比上市公司如舒华体育、英派斯等，毛利率多在25%—40%区间。宝德龙聚焦商用与招投标市场，规模小于迈宝赫、大胡子，但因数据缺失，本报告不作具体数值对标。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公司为自然人投资或控股的有限责任公司，赵世晶持股约91%、赵之富持股约9%，实际控制人对重大决策具有主导权，决策效率高但内部制衡有限。</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核心管理者赵世晶为法定代表人、执行董事兼总经理，对公司战略与经营具有决定性影响。其他高管信息有限。</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公司通过ISO9001、ISO14001、OHS18001及CE、NSCC等认证建立质量、安全与出口合规体系；全国售后区域责任制体现规范化运营。公司未公开披露内控评价报告或第三方审计意见。</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公司2025年社保参保167人，人员规模属中小制造型企业。公司建有研发体系并与科研机构、高校合作形成产学研一体化研发，在全国配备销售与售后团队，人才结构以制造与销售服务为主。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第一，商用与招投标市场优势。公司深耕商用健身器材20余年，中标超2000家大型企事业单位，在军警消防、学校、政企招标市场形成稳固壁垒。</w:t>
      </w:r>
    </w:p>
    <w:p>
      <w:pPr>
        <w:spacing w:lineRule="exact" w:line="600" w:before="0" w:after="0"/>
        <w:ind w:firstLine="420"/>
        <w:jc w:val="both"/>
      </w:pPr>
      <w:r>
        <w:rPr>
          <w:rFonts w:ascii="仿宋_GB2312" w:hAnsi="仿宋_GB2312" w:eastAsia="仿宋_GB2312"/>
          <w:b w:val="0"/>
          <w:color w:val="000000"/>
          <w:sz w:val="32"/>
        </w:rPr>
        <w:t>第二，品牌与资质。BODY STRONG为国内知名商用健身器材品牌，获多项行业品牌荣誉，通过ISO、CE、NSCC等多重认证，构成准入壁垒。</w:t>
      </w:r>
    </w:p>
    <w:p>
      <w:pPr>
        <w:spacing w:lineRule="exact" w:line="600" w:before="0" w:after="0"/>
        <w:ind w:firstLine="420"/>
        <w:jc w:val="both"/>
      </w:pPr>
      <w:r>
        <w:rPr>
          <w:rFonts w:ascii="仿宋_GB2312" w:hAnsi="仿宋_GB2312" w:eastAsia="仿宋_GB2312"/>
          <w:b w:val="0"/>
          <w:color w:val="000000"/>
          <w:sz w:val="32"/>
        </w:rPr>
        <w:t>第三，全场景服务与售后网络。全国销售与区域售后常驻体系、售后配件库形成服务黏性，是B端客户重要考量。</w:t>
      </w:r>
    </w:p>
    <w:p>
      <w:pPr>
        <w:spacing w:lineRule="exact" w:line="600" w:before="0" w:after="0"/>
        <w:ind w:firstLine="420"/>
        <w:jc w:val="both"/>
      </w:pPr>
      <w:r>
        <w:rPr>
          <w:rFonts w:ascii="仿宋_GB2312" w:hAnsi="仿宋_GB2312" w:eastAsia="仿宋_GB2312"/>
          <w:b w:val="0"/>
          <w:color w:val="000000"/>
          <w:sz w:val="32"/>
        </w:rPr>
        <w:t>第四，出口与跨境结算能力。产品远销150多国，2025年跨境结算1,338万美元，具备国际化渠道与外汇业务基础。</w:t>
      </w:r>
    </w:p>
    <w:p>
      <w:pPr>
        <w:spacing w:lineRule="exact" w:line="600" w:before="0" w:after="0"/>
        <w:ind w:firstLine="420"/>
        <w:jc w:val="both"/>
      </w:pPr>
      <w:r>
        <w:rPr>
          <w:rFonts w:ascii="仿宋_GB2312" w:hAnsi="仿宋_GB2312" w:eastAsia="仿宋_GB2312"/>
          <w:b w:val="0"/>
          <w:color w:val="000000"/>
          <w:sz w:val="32"/>
        </w:rPr>
        <w:t>第五，自有产能与专利。两个厂区、先进设备与60余项（或128项）专利支撑规模化与定制化交付。</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健身器材需求随宏观与健身场馆投资周期波动；行业竞争充分、价格压力持续。</w:t>
      </w:r>
    </w:p>
    <w:p>
      <w:pPr>
        <w:spacing w:lineRule="exact" w:line="600" w:before="0" w:after="0"/>
        <w:ind w:firstLine="420"/>
        <w:jc w:val="both"/>
      </w:pPr>
      <w:r>
        <w:rPr>
          <w:rFonts w:ascii="仿宋_GB2312" w:hAnsi="仿宋_GB2312" w:eastAsia="仿宋_GB2312"/>
          <w:b w:val="0"/>
          <w:color w:val="000000"/>
          <w:sz w:val="32"/>
        </w:rPr>
        <w:t>应对措施：向高端商用、招投标与服务化延伸，提升溢价与黏性。</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一是原材料（钢材）价格波动；二是出口汇率与贸易政策风险；三是招投标业务回款周期风险。</w:t>
      </w:r>
    </w:p>
    <w:p>
      <w:pPr>
        <w:spacing w:lineRule="exact" w:line="600" w:before="0" w:after="0"/>
        <w:ind w:firstLine="420"/>
        <w:jc w:val="both"/>
      </w:pPr>
      <w:r>
        <w:rPr>
          <w:rFonts w:ascii="仿宋_GB2312" w:hAnsi="仿宋_GB2312" w:eastAsia="仿宋_GB2312"/>
          <w:b w:val="0"/>
          <w:color w:val="000000"/>
          <w:sz w:val="32"/>
        </w:rPr>
        <w:t>应对措施：优化采购、运用外汇工具、强化信用与回款管理。</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公司财务数据未公开，资产负债率与现金流无法评估。因数据缺失，风险的量化程度无法评估。</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公司存在一定数量的天眼风险信息与涉诉关系（天眼查统计），具体案由与金额需通过裁判文书网核实，建议在授信前重点排查合同与货款纠纷。出口业务还须持续满足CE、NSCC等认证与合规要求。</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自然人控股、实际控制人“一股独大”下，关联交易与决策制衡需关注；县域高端人才引进仍有约束。</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宝德龙为商用与招投标市场特色鲜明的骨干企业，品牌、资质与售后网络扎实，建议列为核心客户，以“强场景、控敞口”的保理与供应链金融先行。</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公司对政企、军警院校及健身场馆的应收账款是优质自偿性资产。建议针对资信良好的招标与B端客户应收账款开展保理，融资比例70%—80%，回款账户共管。</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在采购端提供钢材等原料预付款融资；在销售端以真实订单开展订单融资，将公司信用向上下游小微配套延伸。</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公司两个厂区与设备升级需求明确。建议直租介入新增设备，租期3—5年；对成新率较高的通用设备售后回租补充流动资金，以自有土地厂房增信，要求实控人连带担保。</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公司本身体量适中，但可将其作为链主，向上下游小微配套发放单户100万元以内短期贷款，以交易数据增信。</w:t>
      </w:r>
    </w:p>
    <w:p>
      <w:pPr>
        <w:spacing w:lineRule="exact" w:line="600" w:before="120" w:after="120"/>
        <w:ind w:firstLine="420"/>
        <w:jc w:val="left"/>
      </w:pPr>
      <w:r>
        <w:rPr>
          <w:rFonts w:ascii="楷体_GB2312" w:hAnsi="楷体_GB2312" w:eastAsia="楷体_GB2312"/>
          <w:b w:val="0"/>
          <w:color w:val="000000"/>
          <w:sz w:val="32"/>
        </w:rPr>
        <w:t>（六）尽职调查要点</w:t>
      </w:r>
    </w:p>
    <w:p>
      <w:pPr>
        <w:spacing w:lineRule="exact" w:line="600" w:before="0" w:after="0"/>
        <w:ind w:firstLine="420"/>
        <w:jc w:val="both"/>
      </w:pPr>
      <w:r>
        <w:rPr>
          <w:rFonts w:ascii="仿宋_GB2312" w:hAnsi="仿宋_GB2312" w:eastAsia="仿宋_GB2312"/>
          <w:b w:val="0"/>
          <w:color w:val="000000"/>
          <w:sz w:val="32"/>
        </w:rPr>
        <w:t>合作前需完成：一是获取近三年经审计财务报表与纳税、银行流水；二是厘清赵世晶、赵之富股权与关联交易；三是通过裁判文书网核实涉诉案由与金额；四是核实两个厂区土地厂房权属与抵押状况；五是评估出口与跨境结算真实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宝德龙是宁津健身器材集群中商用与招投标市场特色最鲜明的骨干企业，BODY STRONG品牌、多重认证与全国售后网络构成扎实壁垒，中标超2000家大型企事业单位印证其政企市场开拓能力。</w:t>
      </w:r>
    </w:p>
    <w:p>
      <w:pPr>
        <w:spacing w:lineRule="exact" w:line="600" w:before="0" w:after="0"/>
        <w:ind w:firstLine="420"/>
        <w:jc w:val="both"/>
      </w:pPr>
      <w:r>
        <w:rPr>
          <w:rFonts w:ascii="仿宋_GB2312" w:hAnsi="仿宋_GB2312" w:eastAsia="仿宋_GB2312"/>
          <w:b w:val="0"/>
          <w:color w:val="000000"/>
          <w:sz w:val="32"/>
        </w:rPr>
        <w:t>相对不足在于：规模小于迈宝赫、大胡子，财务透明度不足，公开涉诉标签需核实。综合评价为“商用与招投标特色突出、品牌服务扎实、但规模与透明度待提升”的优质中型企业。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据公司发展，随着全民健身与政企、军警院校健康装备需求增长，公司有望在商用与招投标市场巩固优势，并依托跨境结算便利化进一步拓展海外市场。</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一是行业周期与价格竞争；二是原材料与汇率波动；三是财务不透明；四是涉诉风险厘清。</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结论：建议列为重点客户培育，以保理与供应链金融切入、严控敞口，把获取经审计财报作为提额前置，并以融资租赁支持设备升级，持续监测涉诉与关联交易变化。</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宁津县人民政府门户网站：山东宝德龙健身器材有限公司相关公开报道（科信局/工信专栏）。</w:t>
      </w:r>
    </w:p>
    <w:p>
      <w:pPr>
        <w:spacing w:lineRule="exact" w:line="600" w:before="0" w:after="0"/>
        <w:jc w:val="left"/>
      </w:pPr>
      <w:r>
        <w:rPr>
          <w:rFonts w:ascii="仿宋_GB2312" w:hAnsi="仿宋_GB2312" w:eastAsia="仿宋_GB2312"/>
          <w:b w:val="0"/>
          <w:color w:val="000000"/>
          <w:sz w:val="28"/>
        </w:rPr>
        <w:t>2. 宝德龙（BODY STRONG）官网及品牌资料（bdl888.cn、cnpp.cn品牌页）。</w:t>
      </w:r>
    </w:p>
    <w:p>
      <w:pPr>
        <w:spacing w:lineRule="exact" w:line="600" w:before="0" w:after="0"/>
        <w:jc w:val="left"/>
      </w:pPr>
      <w:r>
        <w:rPr>
          <w:rFonts w:ascii="仿宋_GB2312" w:hAnsi="仿宋_GB2312" w:eastAsia="仿宋_GB2312"/>
          <w:b w:val="0"/>
          <w:color w:val="000000"/>
          <w:sz w:val="28"/>
        </w:rPr>
        <w:t>3. 天眼查：山东宝德龙健身器材有限公司企业基础信息与股权（统一社会信用代码91371422755437112B）。</w:t>
      </w:r>
    </w:p>
    <w:p>
      <w:pPr>
        <w:spacing w:lineRule="exact" w:line="600" w:before="0" w:after="0"/>
        <w:jc w:val="left"/>
      </w:pPr>
      <w:r>
        <w:rPr>
          <w:rFonts w:ascii="仿宋_GB2312" w:hAnsi="仿宋_GB2312" w:eastAsia="仿宋_GB2312"/>
          <w:b w:val="0"/>
          <w:color w:val="000000"/>
          <w:sz w:val="28"/>
        </w:rPr>
        <w:t>4. 企查查：山东宝德龙健身器材有限公司企业信息（股东、社保、知识产权、跨境结算报道）。</w:t>
      </w:r>
    </w:p>
    <w:p>
      <w:pPr>
        <w:spacing w:lineRule="exact" w:line="600" w:before="0" w:after="0"/>
        <w:jc w:val="left"/>
      </w:pPr>
      <w:r>
        <w:rPr>
          <w:rFonts w:ascii="仿宋_GB2312" w:hAnsi="仿宋_GB2312" w:eastAsia="仿宋_GB2312"/>
          <w:b w:val="0"/>
          <w:color w:val="000000"/>
          <w:sz w:val="28"/>
        </w:rPr>
        <w:t>5. 集群背景数据引自宁津县政府门户网站、山东省体育产业公开报道。</w:t>
      </w:r>
    </w:p>
    <w:p>
      <w:pPr>
        <w:spacing w:lineRule="exact" w:line="600" w:before="0" w:after="0"/>
        <w:jc w:val="left"/>
      </w:pPr>
      <w:r>
        <w:rPr>
          <w:rFonts w:ascii="仿宋_GB2312" w:hAnsi="仿宋_GB2312" w:eastAsia="仿宋_GB2312"/>
          <w:b w:val="0"/>
          <w:color w:val="000000"/>
          <w:sz w:val="28"/>
        </w:rPr>
        <w:t>6. 本报告未使用任何未经公开披露的财务数据；公司完整财务报表未公开披露，已在正文中如实标注。</w:t>
      </w:r>
    </w:p>
    <w:p>
      <w:pPr>
        <w:spacing w:lineRule="exact" w:line="600" w:before="0" w:after="0"/>
        <w:jc w:val="left"/>
      </w:pPr>
      <w:r>
        <w:rPr>
          <w:rFonts w:ascii="仿宋_GB2312" w:hAnsi="仿宋_GB2312" w:eastAsia="仿宋_GB2312"/>
          <w:b w:val="0"/>
          <w:color w:val="000000"/>
          <w:sz w:val="28"/>
        </w:rPr>
        <w:t>7. 关于天眼风险信息、涉诉关系，本报告仅引述第三方商业查询平台公开展示信息，具体以中国裁判文书网、中国执行信息公开网权威查询结果为准。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