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山东德州宁津县(健身器材)特色产业集群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山东迈宝赫健身器材有限公司企业分析报告</w:t>
      </w:r>
    </w:p>
    <w:p>
      <w:pPr>
        <w:spacing w:lineRule="exact" w:line="600" w:before="0" w:after="0"/>
        <w:jc w:val="left"/>
      </w:pPr>
      <w:r>
        <w:rPr>
          <w:rFonts w:ascii="仿宋_GB2312" w:hAnsi="仿宋_GB2312" w:eastAsia="仿宋_GB2312"/>
          <w:b w:val="0"/>
          <w:color w:val="000000"/>
          <w:sz w:val="28"/>
        </w:rPr>
        <w:t>（本报告依据宁津县政府门户网站公开报道、迈宝赫官网及社会责任报告、天眼查/万得等工商登记与公开信息整理，统计时点截至最新公开披露信息。该公司为非上市企业，完整财务报表未公开披露，凡涉及财务数据处均已如实标注口径与来源，未作任何推算或虚构。部分经营数据（如员工数、占地）在不同年份公开口径存在差异，已分别列示。）</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宁津县地处山东省德州市，被誉为“中国健身器材生产基地”，健身器材产业是宁津县特色产业集群的支柱板块，也是山东省体育用品制造领域的一张名片。集群以商用健身器材整机及零部件制造为核心，形成了从钢材下料、管材加工、焊接、喷涂到整机组装的完整产业链，配套企业高度集聚，本地配套率较高。经过多年发展，宁津聚集了迈宝赫、大胡子（罗赛罗德）、宝德龙等一批在国内商用健身器材领域具有较高知名度的骨干企业，并培育出多个省级“专精特新”、高新技术与智能工厂企业。</w:t>
      </w:r>
    </w:p>
    <w:p>
      <w:pPr>
        <w:spacing w:lineRule="exact" w:line="600" w:before="0" w:after="0"/>
        <w:ind w:firstLine="420"/>
        <w:jc w:val="both"/>
      </w:pPr>
      <w:r>
        <w:rPr>
          <w:rFonts w:ascii="仿宋_GB2312" w:hAnsi="仿宋_GB2312" w:eastAsia="仿宋_GB2312"/>
          <w:b w:val="0"/>
          <w:color w:val="000000"/>
          <w:sz w:val="32"/>
        </w:rPr>
        <w:t>宁津健身器材产品涵盖商用跑步机、动感单车、力量训练器、椭圆机、磁控车等全系列商用健身器材，广泛应用于健身俱乐部、酒店、企事业及军警院校等场景，畅销国内并远销全球上百个国家和地区。近年来，随着《全民健身计划》深入实施与居民健康消费升级，商用与家用健身器材需求持续增长；同时，集群企业普遍推进“机器换人”、智能化改造与自主品牌建设，向高端化、智能化、品牌化方向升级，并加快“走出去”步伐，通过海外并购、国际参展与跨境电商拓展全球市场。本报告所分析的三家企业，分别代表了宁津健身器材集群不同梯队与差异化定位。</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迈宝赫健身器材有限公司（以下简称“迈宝赫”或“公司”）成立于2009年10月26日，统一社会信用代码为913714226954422777，登记机关为宁津县市场监督管理局，企业登记状态为存续。注册地址为山东省德州市宁津县经济技术开发区工业三路与阳光大街延伸线交叉路口西南角，地处宁津经济开发区东部新区。</w:t>
      </w:r>
    </w:p>
    <w:p>
      <w:pPr>
        <w:spacing w:lineRule="exact" w:line="600" w:before="0" w:after="0"/>
        <w:ind w:firstLine="420"/>
        <w:jc w:val="both"/>
      </w:pPr>
      <w:r>
        <w:rPr>
          <w:rFonts w:ascii="仿宋_GB2312" w:hAnsi="仿宋_GB2312" w:eastAsia="仿宋_GB2312"/>
          <w:b w:val="0"/>
          <w:color w:val="000000"/>
          <w:sz w:val="32"/>
        </w:rPr>
        <w:t>公司注册资本1,000万元人民币，实缴资本1,000万元人民币，企业类型为其他有限责任公司，人员规模标注为100—499人，2025年工商参保人数368人。法定代表人赵金治。据天眼查股权穿透信息，公司股东包括宁波盛赫信息咨询有限公司（持股约70%）及刘群英、赵子友、赵金治等自然人及若干股权投资合伙企业，呈现“外部控股平台+自然人持股”的混合结构。</w:t>
      </w:r>
    </w:p>
    <w:p>
      <w:pPr>
        <w:spacing w:lineRule="exact" w:line="600" w:before="0" w:after="0"/>
        <w:ind w:firstLine="420"/>
        <w:jc w:val="both"/>
      </w:pPr>
      <w:r>
        <w:rPr>
          <w:rFonts w:ascii="仿宋_GB2312" w:hAnsi="仿宋_GB2312" w:eastAsia="仿宋_GB2312"/>
          <w:b w:val="0"/>
          <w:color w:val="000000"/>
          <w:sz w:val="32"/>
        </w:rPr>
        <w:t>经营范围涵盖体育用品及器材制造、批发、零售，电子元器件制造与销售，机械零件加工与销售，通用设备制造，货物及技术进出口，软件开发，健身休闲活动，以及医疗器械销售、互联网直播技术服务等，业务边界已从单纯硬件制造向“设备+软件+服务”延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按“设计—研发—生产—销售—服务”一体化架构运营，设有研发、生产、质量、销售、外贸及数字化等职能体系。公司获评省级企业技术中心、省级工业设计中心、德州市工程技术研究中心，研发与技术创新体系较为健全。公司未公开披露内部董事会、监事会及高管完整名单。公开信息显示其对外投资5家企业，参与招投标项目412次，反映其以宁津基地为核心、对外适度扩张的组织形态。</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2009年10月，公司在宁津经济开发区东部新区登记设立，确立以商用健身器材研发制造为主业的发展方向。</w:t>
      </w:r>
    </w:p>
    <w:p>
      <w:pPr>
        <w:spacing w:lineRule="exact" w:line="600" w:before="0" w:after="0"/>
        <w:ind w:firstLine="420"/>
        <w:jc w:val="both"/>
      </w:pPr>
      <w:r>
        <w:rPr>
          <w:rFonts w:ascii="仿宋_GB2312" w:hAnsi="仿宋_GB2312" w:eastAsia="仿宋_GB2312"/>
          <w:b w:val="0"/>
          <w:color w:val="000000"/>
          <w:sz w:val="32"/>
        </w:rPr>
        <w:t>经过多年发展，公司成长为国内商用健身器材行业龙头企业之一，占地经营面积560余亩（公司社会责任报告口径为总占地38万平方米、建筑面积22万平方米），总资产达6.5亿元（2022年社会责任报告口径），拥有德国通快激光切管机4台、日本发那科焊接机器人100台、自动喷涂流水线与智能化组装流水线等先进装备。</w:t>
      </w:r>
    </w:p>
    <w:p>
      <w:pPr>
        <w:spacing w:lineRule="exact" w:line="600" w:before="0" w:after="0"/>
        <w:ind w:firstLine="420"/>
        <w:jc w:val="both"/>
      </w:pPr>
      <w:r>
        <w:rPr>
          <w:rFonts w:ascii="仿宋_GB2312" w:hAnsi="仿宋_GB2312" w:eastAsia="仿宋_GB2312"/>
          <w:b w:val="0"/>
          <w:color w:val="000000"/>
          <w:sz w:val="32"/>
        </w:rPr>
        <w:t>公司先后获批高新技术企业、省级专精特新企业、省技术创新示范企业、省级质量标杆、省级制造业单项冠军、省级工业设计中心、省级服务型制造示范企业、省级智能工厂、省级数字经济“晨星工厂”、省级DCMM试点企业、市级绿色工厂等资质，并获“中国轻工业健身器材行业十强企业”称号。</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公司战略定位为“中国商用健身器材行业标杆与数字化健康解决方案提供商”，是国内商用健身器材行业龙头企业。</w:t>
      </w:r>
    </w:p>
    <w:p>
      <w:pPr>
        <w:spacing w:lineRule="exact" w:line="600" w:before="0" w:after="0"/>
        <w:ind w:firstLine="420"/>
        <w:jc w:val="both"/>
      </w:pPr>
      <w:r>
        <w:rPr>
          <w:rFonts w:ascii="仿宋_GB2312" w:hAnsi="仿宋_GB2312" w:eastAsia="仿宋_GB2312"/>
          <w:b w:val="0"/>
          <w:color w:val="000000"/>
          <w:sz w:val="32"/>
        </w:rPr>
        <w:t>主营业务为商用健身器材的研发、生产与销售，主导产品包括有氧跑步机、动感单车、磁控健身车、力量训练器等四大类200余个品种，并构建了“设备+云”智能生态系统，覆盖用户数据上传、数据共享、健身管理与健身安全等环节，配套迈宝赫club App提供智能化健身体验。</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主要来源于商用有氧器械（跑步机、动感单车、健身车）与力量训练器的销售，并辅以智能化软件服务与配件。公司未公开披露分产品收入构成与年度营收规模。可确认的公开经营口径为：主导产品4大类200余品种、总资产6.5亿元（2022年社会责任报告）、产品行销海外160多个国家和地区、国内服务2万余家健身俱乐部。</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第一类为商用有氧器械，以M980等商用智能跑步机、豪华动感单车为代表，集成触控屏、手机投屏、灯带设计等智能化元素，面向高端健身场所。</w:t>
      </w:r>
    </w:p>
    <w:p>
      <w:pPr>
        <w:spacing w:lineRule="exact" w:line="600" w:before="0" w:after="0"/>
        <w:ind w:firstLine="420"/>
        <w:jc w:val="both"/>
      </w:pPr>
      <w:r>
        <w:rPr>
          <w:rFonts w:ascii="仿宋_GB2312" w:hAnsi="仿宋_GB2312" w:eastAsia="仿宋_GB2312"/>
          <w:b w:val="0"/>
          <w:color w:val="000000"/>
          <w:sz w:val="32"/>
        </w:rPr>
        <w:t>第二类为力量训练器，包括坐姿推胸训练器等挂片、自由重量与综合力量器材，采用精工管材与流线型框架。</w:t>
      </w:r>
    </w:p>
    <w:p>
      <w:pPr>
        <w:spacing w:lineRule="exact" w:line="600" w:before="0" w:after="0"/>
        <w:ind w:firstLine="420"/>
        <w:jc w:val="both"/>
      </w:pPr>
      <w:r>
        <w:rPr>
          <w:rFonts w:ascii="仿宋_GB2312" w:hAnsi="仿宋_GB2312" w:eastAsia="仿宋_GB2312"/>
          <w:b w:val="0"/>
          <w:color w:val="000000"/>
          <w:sz w:val="32"/>
        </w:rPr>
        <w:t>第三类为家用及政采产品，覆盖家用健身与机关企事业单位采购需求。</w:t>
      </w:r>
    </w:p>
    <w:p>
      <w:pPr>
        <w:spacing w:lineRule="exact" w:line="600" w:before="0" w:after="0"/>
        <w:ind w:firstLine="420"/>
        <w:jc w:val="both"/>
      </w:pPr>
      <w:r>
        <w:rPr>
          <w:rFonts w:ascii="仿宋_GB2312" w:hAnsi="仿宋_GB2312" w:eastAsia="仿宋_GB2312"/>
          <w:b w:val="0"/>
          <w:color w:val="000000"/>
          <w:sz w:val="32"/>
        </w:rPr>
        <w:t>第四类为“设备+云”智能生态与迈宝赫club App服务，是公司区别于传统器材厂家的差异化抓手。</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健身俱乐部、酒店企事业、高端会所、私教工作室等B端场景，以及家用消费者。据公开信息，产品基本遍布全国，覆盖国内近2000个地县级城市，服务2万余家健身俱乐部及健身工作室；海外市场行销160多个国家和地区。客户高度分散、复购与服务粘性较强。公司未公开披露前五大客户与集中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采购钢材、管材、电机、电子元器件、塑胶及涂装材料。宁津本地健身器材产业链配套完备，钢材下料、管件加工、喷涂等环节本地配套率高，有利于缩短供应链与降低物流成本。公司未公开披露供应商名称与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占地560余亩（或38万平方米），拥有德国通快激光切管机4台、日本发那科焊接机器人100台、自动喷涂与智能组装流水线，自动化、智能化生产水平在县域健身器材企业中居前。知识产权方面，公司拥有商标64条、专利164条（含已授权发明3项、实用新型26项、外观设计53项，其余为后续新增）、著作权12项，知识产权储备丰富。</w:t>
      </w:r>
    </w:p>
    <w:p>
      <w:pPr>
        <w:spacing w:lineRule="exact" w:line="600" w:before="0" w:after="0"/>
        <w:ind w:firstLine="420"/>
        <w:jc w:val="both"/>
      </w:pPr>
      <w:r>
        <w:rPr>
          <w:rFonts w:ascii="仿宋_GB2312" w:hAnsi="仿宋_GB2312" w:eastAsia="仿宋_GB2312"/>
          <w:b w:val="0"/>
          <w:color w:val="000000"/>
          <w:sz w:val="32"/>
        </w:rPr>
        <w:t>资质方面，公司为高新技术企业、省级专精特新、省级制造业单项冠军、省级智能工厂、省级工业设计中心、省级企业技术中心，并通过相关质量与环境管理体系认证。出口业务须取得CE等目标市场认证，公司未公开披露具体清单。</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公司采取“B端直销+经销商+电商+外贸”的复合渠道，设有天猫、京东迈宝赫旗舰店，并通过海外参展与跨境渠道拓展国际市场。其AI健身房智能中枢等数字化工具用于方案匹配与设备选型，增强获客能力。</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可公开引用的经营数据：总资产6.5亿元（2022年口径）、占地560余亩/38万平方米、产品4大类200余品种、商标64、专利164、海外160多国、国内服务2万余家俱乐部。</w:t>
      </w:r>
    </w:p>
    <w:p>
      <w:pPr>
        <w:spacing w:lineRule="exact" w:line="600" w:before="0" w:after="0"/>
        <w:ind w:firstLine="420"/>
        <w:jc w:val="both"/>
      </w:pPr>
      <w:r>
        <w:rPr>
          <w:rFonts w:ascii="仿宋_GB2312" w:hAnsi="仿宋_GB2312" w:eastAsia="仿宋_GB2312"/>
          <w:b w:val="0"/>
          <w:color w:val="000000"/>
          <w:sz w:val="32"/>
        </w:rPr>
        <w:t>市场地位方面，公司被宁津县政府公开报道明确表述为“国内商用健身器材行业龙头企业”，并获“中国轻工业健身器材行业十强企业”“省级制造业单项冠军”等称号，在商用健身器材细分领域具有显著的规模与技术地位。公司未公开披露具体市场占有率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未在证券交易所或公开信息平台披露定期报告，完整财务报表未公开。经检索政府门户、官网及工商信息平台，仅能获取零散经营口径（如2022年总资产6.5亿元），未能获取连续年度的营业收入、净利润、毛利率、资产负债率、经营活动现金流量净额等财务指标。据此，本报告如实标注：财务数据未公开披露，不进行任何形式的推算或估计。</w:t>
      </w:r>
    </w:p>
    <w:p>
      <w:pPr>
        <w:spacing w:lineRule="exact" w:line="600" w:before="0" w:after="0"/>
        <w:ind w:firstLine="420"/>
        <w:jc w:val="both"/>
      </w:pPr>
      <w:r>
        <w:rPr>
          <w:rFonts w:ascii="仿宋_GB2312" w:hAnsi="仿宋_GB2312" w:eastAsia="仿宋_GB2312"/>
          <w:b w:val="0"/>
          <w:color w:val="000000"/>
          <w:sz w:val="32"/>
        </w:rPr>
        <w:t>可确认的量化信息仅有：注册资本1,000万元（实缴同）、2025年参保368人、总资产6.5亿元（2022年社会责任报告口径）、商标64、专利164、占地560余亩等。</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缺乏公开利润表的前提下，仅作定性判断。商用健身器材属充分竞争行业，毛利率受钢材等原材料价格、汇率与渠道费用影响；公司作为行业龙头与单项冠军企业，具备规模、品牌与智能化溢价能力，盈利质量应优于中小同业，但具体盈利水平不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生产装置、厂房、土地、存货与应收账款为主，固定资产比重大、专用性较强。存货主要为钢材、在产品和整机成品，受钢材价格与产品迭代影响存在跌价风险。应收账款规模取决于B端客户结构与账期，公司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公司资产负债率、有息负债规模未公开。公开信息未显示公司存在失信被执行或重大司法纠纷负面记录（以司法机关权威查询为准）；作为高新技术企业、制造业单项冠军，其通常具备较好的银行授信基础。</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现金流量表未公开。定性看，B端销售存在一定账期，经营性现金流受回款节奏影响；投资性支出集中于智能工厂与设备升级，存在持续资本开支需求。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健身器材行业可比上市公司包括英派斯、舒华体育、金陵体育等，其公开年报显示毛利率多在25%—40%区间、资产负债率多在30%—50%区间。迈宝赫规模与资质在商用器材领域居前，但因数据缺失，本报告不作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有限责任公司，股权以宁波盛赫信息咨询（约70%）为主导，叠加自然人及员工持股平台，治理上较纯家族企业更具规范性，但控股股东对重大事项仍具主导权。公司董事、监事及高管具体名单未完全公开。</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公开信息显示法定代表人为赵金治，为核心管理者之一。其他高管信息有限。公司获评多项省级资质，反映其管理团队在技术与运营上的表现获得认可。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公司通过省级企业技术中心、工业设计中心等平台建立研发与质量管控体系；作为健身器材制造与出口企业，须满足质量、安全与出口合规要求。公司未公开披露内控评价报告或第三方审计意见。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2025年社保参保人数368人，政府报道称现有员工353人，2022年社会责任报告称员工1100人，差异源于统计年份与口径（参保/在岗/集团）不同，实际用工规模需结合纳税与用电数据核实。公司建有研发团队并依托技术中心开展创新，研发人员规模未单独披露。</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第一，规模与龙头地位。公司为国内商用健身器材行业龙头企业、省级制造业单项冠军，产品行销160多国、国内服务2万余家俱乐部，规模与渠道优势显著。</w:t>
      </w:r>
    </w:p>
    <w:p>
      <w:pPr>
        <w:spacing w:lineRule="exact" w:line="600" w:before="0" w:after="0"/>
        <w:ind w:firstLine="420"/>
        <w:jc w:val="both"/>
      </w:pPr>
      <w:r>
        <w:rPr>
          <w:rFonts w:ascii="仿宋_GB2312" w:hAnsi="仿宋_GB2312" w:eastAsia="仿宋_GB2312"/>
          <w:b w:val="0"/>
          <w:color w:val="000000"/>
          <w:sz w:val="32"/>
        </w:rPr>
        <w:t>第二，技术与智能制造壁垒。拥有164项专利、64项商标，建成省级智能工厂，配备100台发那科焊接机器人与激光切管等先进装备，自动化水平领先同业。</w:t>
      </w:r>
    </w:p>
    <w:p>
      <w:pPr>
        <w:spacing w:lineRule="exact" w:line="600" w:before="0" w:after="0"/>
        <w:ind w:firstLine="420"/>
        <w:jc w:val="both"/>
      </w:pPr>
      <w:r>
        <w:rPr>
          <w:rFonts w:ascii="仿宋_GB2312" w:hAnsi="仿宋_GB2312" w:eastAsia="仿宋_GB2312"/>
          <w:b w:val="0"/>
          <w:color w:val="000000"/>
          <w:sz w:val="32"/>
        </w:rPr>
        <w:t>第三，资质矩阵。高新技术企业、省级专精特新、省级工业设计中心、省级企业技术中心、省级服务型制造示范、DCMM试点、绿色工厂等多重资质构成准入与政策红利壁垒。</w:t>
      </w:r>
    </w:p>
    <w:p>
      <w:pPr>
        <w:spacing w:lineRule="exact" w:line="600" w:before="0" w:after="0"/>
        <w:ind w:firstLine="420"/>
        <w:jc w:val="both"/>
      </w:pPr>
      <w:r>
        <w:rPr>
          <w:rFonts w:ascii="仿宋_GB2312" w:hAnsi="仿宋_GB2312" w:eastAsia="仿宋_GB2312"/>
          <w:b w:val="0"/>
          <w:color w:val="000000"/>
          <w:sz w:val="32"/>
        </w:rPr>
        <w:t>第四，“设备+云”智能化生态。迈宝赫club App与AI选型工具形成差异化，增强客户黏性与数据价值。</w:t>
      </w:r>
    </w:p>
    <w:p>
      <w:pPr>
        <w:spacing w:lineRule="exact" w:line="600" w:before="0" w:after="0"/>
        <w:ind w:firstLine="420"/>
        <w:jc w:val="both"/>
      </w:pPr>
      <w:r>
        <w:rPr>
          <w:rFonts w:ascii="仿宋_GB2312" w:hAnsi="仿宋_GB2312" w:eastAsia="仿宋_GB2312"/>
          <w:b w:val="0"/>
          <w:color w:val="000000"/>
          <w:sz w:val="32"/>
        </w:rPr>
        <w:t>第五，产业链配套。地处宁津“中国健身器材生产基地”，本地配套率高、物流与成本优势明显。</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健身器材需求受宏观经济、居民消费与健身场馆投资周期影响，存在波动；行业竞争充分，价格与渠道费用压力持续。</w:t>
      </w:r>
    </w:p>
    <w:p>
      <w:pPr>
        <w:spacing w:lineRule="exact" w:line="600" w:before="0" w:after="0"/>
        <w:ind w:firstLine="420"/>
        <w:jc w:val="both"/>
      </w:pPr>
      <w:r>
        <w:rPr>
          <w:rFonts w:ascii="仿宋_GB2312" w:hAnsi="仿宋_GB2312" w:eastAsia="仿宋_GB2312"/>
          <w:b w:val="0"/>
          <w:color w:val="000000"/>
          <w:sz w:val="32"/>
        </w:rPr>
        <w:t>应对措施：向智能化、高端化与服务型制造升级，提升溢价能力。</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一是原材料（钢材）价格波动风险；二是出口业务面临的汇率与贸易政策风险；三是B端客户账期与回款风险。</w:t>
      </w:r>
    </w:p>
    <w:p>
      <w:pPr>
        <w:spacing w:lineRule="exact" w:line="600" w:before="0" w:after="0"/>
        <w:ind w:firstLine="420"/>
        <w:jc w:val="both"/>
      </w:pPr>
      <w:r>
        <w:rPr>
          <w:rFonts w:ascii="仿宋_GB2312" w:hAnsi="仿宋_GB2312" w:eastAsia="仿宋_GB2312"/>
          <w:b w:val="0"/>
          <w:color w:val="000000"/>
          <w:sz w:val="32"/>
        </w:rPr>
        <w:t>应对措施：优化采购节奏、运用外汇管理工具、强化信用与回款管理。</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公司财务数据未公开，资产负债率与现金流状况无法评估。作为重资产制造企业，持续智能工厂投入可能带来阶段性资金压力。因数据缺失，风险的量化程度无法评估。</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公司存在一定数量的天眼风险信息、裁判文书与涉诉关系（天眼查统计），具体案由与金额需通过裁判文书网核实，建议在授信前重点排查合同与货款纠纷。出口业务还须持续满足CE等目标市场认证与合规要求。</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公司地处县域，高端研发与国际贸易人才引进难度较大；控股股东（宁波盛赫）自身信用状况亦需在授信中核查。</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（一）总体授信策略</w:t>
      </w:r>
    </w:p>
    <w:p>
      <w:pPr>
        <w:spacing w:lineRule="exact" w:line="600" w:before="0" w:after="0"/>
        <w:ind w:firstLine="420"/>
        <w:jc w:val="both"/>
      </w:pPr>
      <w:r>
        <w:rPr>
          <w:rFonts w:ascii="仿宋_GB2312" w:hAnsi="仿宋_GB2312" w:eastAsia="仿宋_GB2312"/>
          <w:b w:val="0"/>
          <w:color w:val="000000"/>
          <w:sz w:val="32"/>
        </w:rPr>
        <w:t>迈宝赫为宁津健身器材集群标杆龙头，资质硬、规模大、出口广、智能化程度高，建议列为优先合作的战略级客户，可开展中长期、较大额的综合金融服务。</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公司对健身俱乐部、酒店企事业及海外客户的应收账款是优质自偿性资产。建议针对资信良好的B端客户应收账款开展保理，对出口应收配套中国出口信用保险，融资比例可达发票金额70%—80%。</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在采购端，为公司钢材、电机、电子元器件等原料采购提供预付款融资；在销售端，以真实订单为基础开展订单融资，将公司信用向上下游小微配套企业延伸。</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智能工厂与机器人、激光切管、喷涂线等设备投入需求明确。建议直租介入新增设备，租期3—5年；对成新率较高的通用设备可售后回租补充流动资金，以其土地与厂房增信，并要求控股股东或实控人连带担保。</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公司本身体量已超出典型小贷范围，但可将其作为链主，向上下游小微配套（钢材加工、物流、包装）发放单户100万元以内短期贷款，以交易数据增信。</w:t>
      </w:r>
    </w:p>
    <w:p>
      <w:pPr>
        <w:spacing w:lineRule="exact" w:line="600" w:before="120" w:after="120"/>
        <w:ind w:firstLine="420"/>
        <w:jc w:val="left"/>
      </w:pPr>
      <w:r>
        <w:rPr>
          <w:rFonts w:ascii="楷体_GB2312" w:hAnsi="楷体_GB2312" w:eastAsia="楷体_GB2312"/>
          <w:b w:val="0"/>
          <w:color w:val="000000"/>
          <w:sz w:val="32"/>
        </w:rPr>
        <w:t>（六）尽职调查要点</w:t>
      </w:r>
    </w:p>
    <w:p>
      <w:pPr>
        <w:spacing w:lineRule="exact" w:line="600" w:before="0" w:after="0"/>
        <w:ind w:firstLine="420"/>
        <w:jc w:val="both"/>
      </w:pPr>
      <w:r>
        <w:rPr>
          <w:rFonts w:ascii="仿宋_GB2312" w:hAnsi="仿宋_GB2312" w:eastAsia="仿宋_GB2312"/>
          <w:b w:val="0"/>
          <w:color w:val="000000"/>
          <w:sz w:val="32"/>
        </w:rPr>
        <w:t>合作前需完成：一是获取近三年经审计财务报表与纳税、银行流水；二是核实控股股东宁波盛赫及实控人信用；三是核查涉诉案由与金额；四是核实土地、厂房权属与抵押状况；五是评估出口回款真实性。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迈宝赫是宁津健身器材集群中规模与技术实力最突出的龙头企业，省级制造业单项冠军、智能工厂与164项专利构成显著壁垒，“设备+云”智能生态形成差异化。</w:t>
      </w:r>
    </w:p>
    <w:p>
      <w:pPr>
        <w:spacing w:lineRule="exact" w:line="600" w:before="0" w:after="0"/>
        <w:ind w:firstLine="420"/>
        <w:jc w:val="both"/>
      </w:pPr>
      <w:r>
        <w:rPr>
          <w:rFonts w:ascii="仿宋_GB2312" w:hAnsi="仿宋_GB2312" w:eastAsia="仿宋_GB2312"/>
          <w:b w:val="0"/>
          <w:color w:val="000000"/>
          <w:sz w:val="32"/>
        </w:rPr>
        <w:t>相对不足在于：财务透明度不足，公开涉诉标签需核实，控股股东信用需关注。综合评价为“龙头地位稳固、技术智能领先、但透明度与治理待核查”的战略级成长企业。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据公司愿景与已建成产能，随着全民健身与商用健身场馆投资增长，公司有望巩固商用器材龙头地位；智能化、服务型制造升级将提升盈利韧性。</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一是行业周期与价格竞争；二是原材料与汇率波动；三是财务透明度不足；四是县域人才约束；五是涉诉风险的厘清。</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结论：建议列为中长期战略客户培育。建议：一是以保理与供应链金融切入、严控敞口；二是把获取经审计财报作为提额前置；三是以融资租赁支持智能工厂升级；四是持续监测行业周期与出口政策。</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宁津县人民政府门户网站：山东迈宝赫健身器材有限公司企业介绍（科信局/工信专栏）。</w:t>
      </w:r>
    </w:p>
    <w:p>
      <w:pPr>
        <w:spacing w:lineRule="exact" w:line="600" w:before="0" w:after="0"/>
        <w:jc w:val="left"/>
      </w:pPr>
      <w:r>
        <w:rPr>
          <w:rFonts w:ascii="仿宋_GB2312" w:hAnsi="仿宋_GB2312" w:eastAsia="仿宋_GB2312"/>
          <w:b w:val="0"/>
          <w:color w:val="000000"/>
          <w:sz w:val="28"/>
        </w:rPr>
        <w:t>2. 迈宝赫官网（mbhfit.com）“关于我们”“产品中心”“新闻动态”栏目。</w:t>
      </w:r>
    </w:p>
    <w:p>
      <w:pPr>
        <w:spacing w:lineRule="exact" w:line="600" w:before="0" w:after="0"/>
        <w:jc w:val="left"/>
      </w:pPr>
      <w:r>
        <w:rPr>
          <w:rFonts w:ascii="仿宋_GB2312" w:hAnsi="仿宋_GB2312" w:eastAsia="仿宋_GB2312"/>
          <w:b w:val="0"/>
          <w:color w:val="000000"/>
          <w:sz w:val="28"/>
        </w:rPr>
        <w:t>3. 迈宝赫2022年度社会责任报告（公司官网发布）。</w:t>
      </w:r>
    </w:p>
    <w:p>
      <w:pPr>
        <w:spacing w:lineRule="exact" w:line="600" w:before="0" w:after="0"/>
        <w:jc w:val="left"/>
      </w:pPr>
      <w:r>
        <w:rPr>
          <w:rFonts w:ascii="仿宋_GB2312" w:hAnsi="仿宋_GB2312" w:eastAsia="仿宋_GB2312"/>
          <w:b w:val="0"/>
          <w:color w:val="000000"/>
          <w:sz w:val="28"/>
        </w:rPr>
        <w:t>4. 天眼查：山东迈宝赫健身器材有限公司企业基础信息与股权穿透（统一社会信用代码913714226954422777）。</w:t>
      </w:r>
    </w:p>
    <w:p>
      <w:pPr>
        <w:spacing w:lineRule="exact" w:line="600" w:before="0" w:after="0"/>
        <w:jc w:val="left"/>
      </w:pPr>
      <w:r>
        <w:rPr>
          <w:rFonts w:ascii="仿宋_GB2312" w:hAnsi="仿宋_GB2312" w:eastAsia="仿宋_GB2312"/>
          <w:b w:val="0"/>
          <w:color w:val="000000"/>
          <w:sz w:val="28"/>
        </w:rPr>
        <w:t>5. 集群背景数据引自宁津县政府门户网站、山东省体育产业公开报道。</w:t>
      </w:r>
    </w:p>
    <w:p>
      <w:pPr>
        <w:spacing w:lineRule="exact" w:line="600" w:before="0" w:after="0"/>
        <w:jc w:val="left"/>
      </w:pPr>
      <w:r>
        <w:rPr>
          <w:rFonts w:ascii="仿宋_GB2312" w:hAnsi="仿宋_GB2312" w:eastAsia="仿宋_GB2312"/>
          <w:b w:val="0"/>
          <w:color w:val="000000"/>
          <w:sz w:val="28"/>
        </w:rPr>
        <w:t>6. 本报告未使用任何未经公开披露的财务数据；公司完整财务报表未公开披露，已在正文中如实标注。</w:t>
      </w:r>
    </w:p>
    <w:p>
      <w:pPr>
        <w:spacing w:lineRule="exact" w:line="600" w:before="0" w:after="0"/>
        <w:jc w:val="left"/>
      </w:pPr>
      <w:r>
        <w:rPr>
          <w:rFonts w:ascii="仿宋_GB2312" w:hAnsi="仿宋_GB2312" w:eastAsia="仿宋_GB2312"/>
          <w:b w:val="0"/>
          <w:color w:val="000000"/>
          <w:sz w:val="28"/>
        </w:rPr>
        <w:t>7. 关于天眼风险信息、涉诉关系，本报告仅引述第三方商业查询平台公开展示信息，具体以中国裁判文书网、中国执行信息公开网权威查询结果为准。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