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山东日照莒县(生态塑料智造)特色产业集群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山东华丽达新材料有限公司企业分析报告</w:t>
      </w:r>
    </w:p>
    <w:p>
      <w:pPr>
        <w:spacing w:lineRule="exact" w:line="600" w:before="0" w:after="0"/>
        <w:jc w:val="left"/>
      </w:pPr>
      <w:r>
        <w:rPr>
          <w:rFonts w:ascii="仿宋_GB2312" w:hAnsi="仿宋_GB2312" w:eastAsia="仿宋_GB2312"/>
          <w:b w:val="0"/>
          <w:color w:val="000000"/>
          <w:sz w:val="28"/>
        </w:rPr>
        <w:t>（本报告依据天眼查、启信宝公开工商登记信息，莒县行政审批服务局环评审批公示，莒县融媒/直播日照公开报道等渠道整理，统计时点截至最新公开披露信息。该公司为非上市小微企业，财务报表未公开披露，凡涉及财务处均如实标注，未作虚构。）</w:t>
      </w:r>
    </w:p>
    <w:p>
      <w:pPr>
        <w:spacing w:lineRule="exact" w:line="600" w:before="120" w:after="120"/>
        <w:ind w:firstLine="420"/>
        <w:jc w:val="left"/>
      </w:pPr>
      <w:r>
        <w:rPr>
          <w:rFonts w:ascii="黑体" w:hAnsi="黑体" w:eastAsia="黑体"/>
          <w:b w:val="0"/>
          <w:color w:val="000000"/>
          <w:sz w:val="32"/>
        </w:rPr>
        <w:t>引言：产业集群背景</w:t>
      </w:r>
    </w:p>
    <w:p>
      <w:pPr>
        <w:spacing w:lineRule="exact" w:line="600" w:before="0" w:after="0"/>
        <w:ind w:firstLine="420"/>
        <w:jc w:val="both"/>
      </w:pPr>
      <w:r>
        <w:rPr>
          <w:rFonts w:ascii="仿宋_GB2312" w:hAnsi="仿宋_GB2312" w:eastAsia="仿宋_GB2312"/>
          <w:b w:val="0"/>
          <w:color w:val="000000"/>
          <w:sz w:val="32"/>
        </w:rPr>
        <w:t>莒县地处山东省日照市西部，是全国重要的塑料制品加工基地。集群核心承载区刘官庄镇被业界称为“中国塑料产业第一镇”，是全国最大的膜袋类塑料生产基地和塑料填充母料生产基地。据莒县融媒、消费日报等公开报道，刘官庄镇塑料产业集群年加工能力达160余万吨，年产值超200亿元；2024年上半年，全镇1100余家塑料产业企业完成产值110亿元。2017年环保风暴之后，镇党委、政府规划建设“一轴四园”工业区，取缔造粒散户480家、规范塑料企业421家，建设刘官庄高端塑料产业园并引导企业入园，推动塑料产业向“规模化、集群化、集约化、园区化、高端化”方向发展。与之配套的日照海右化工园区为省级化工园区，按照“龙头企业带动、配套企业跟进、产业集群发展”的链式思路，以原油炼化加工为源头形成新材料、化工等产业板块，为集群提供“油头”原料支撑。</w:t>
      </w:r>
    </w:p>
    <w:p>
      <w:pPr>
        <w:spacing w:lineRule="exact" w:line="600" w:before="0" w:after="0"/>
        <w:ind w:firstLine="420"/>
        <w:jc w:val="both"/>
      </w:pPr>
      <w:r>
        <w:rPr>
          <w:rFonts w:ascii="仿宋_GB2312" w:hAnsi="仿宋_GB2312" w:eastAsia="仿宋_GB2312"/>
          <w:b w:val="0"/>
          <w:color w:val="000000"/>
          <w:sz w:val="32"/>
        </w:rPr>
        <w:t>2025年上半年，刘官庄镇新增省级“专精特新”企业3家、省级创新型中小企业6家，规上塑料企业实现产值8.4亿元，同比增长19.4%；全镇提出全年规上工业产值30亿元、培育“四上”企业27家的目标。在要素保障方面，当地探索“互联网+产业+金融”模式，累计帮助企业融资3.3亿元，缓解小微企业融资难题；同时为企业争取中央挥发性有机物（VOCs）专项治理资金用于环保设备更新。集群整体呈现“上游可降解新材料原料—中游改性造粒与功能母料—下游膜袋制品及包装”的完整链条形态，本报告所分析企业分别处于该链条的原料端、改性端与制品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华丽达新材料有限公司（以下简称“华丽达”或“公司”）成立于2022年9月16日，统一社会信用代码为91371122MABYQ3XE2F，注册号371122200226227，登记机关为莒县市场监督管理局，企业登记状态为存续。注册地址为山东省日照市莒县刘官庄镇徐家庄村汇达路9号（塑料产业园），位于莒县高端塑料产业园区范围内。</w:t>
      </w:r>
    </w:p>
    <w:p>
      <w:pPr>
        <w:spacing w:lineRule="exact" w:line="600" w:before="0" w:after="0"/>
        <w:ind w:firstLine="420"/>
        <w:jc w:val="both"/>
      </w:pPr>
      <w:r>
        <w:rPr>
          <w:rFonts w:ascii="仿宋_GB2312" w:hAnsi="仿宋_GB2312" w:eastAsia="仿宋_GB2312"/>
          <w:b w:val="0"/>
          <w:color w:val="000000"/>
          <w:sz w:val="32"/>
        </w:rPr>
        <w:t>公司注册资本300万元人民币，企业类型为有限责任公司（自然人独资），法定代表人为庄乾英，疑似实际控制人亦为庄姓自然人。公司英文名称为Shandong Hualida New Materials Co., Ltd.。由于系自然人独资，公司股权结构简单、决策链条短，但也意味着股东层面的资本补充能力相对有限，公司治理的制衡机制较弱。</w:t>
      </w:r>
    </w:p>
    <w:p>
      <w:pPr>
        <w:spacing w:lineRule="exact" w:line="600" w:before="0" w:after="0"/>
        <w:ind w:firstLine="420"/>
        <w:jc w:val="both"/>
      </w:pPr>
      <w:r>
        <w:rPr>
          <w:rFonts w:ascii="仿宋_GB2312" w:hAnsi="仿宋_GB2312" w:eastAsia="仿宋_GB2312"/>
          <w:b w:val="0"/>
          <w:color w:val="000000"/>
          <w:sz w:val="32"/>
        </w:rPr>
        <w:t>公司国民经济行业分类为“化学纤维制造业〉合成纤维制造〉其他合成纤维制造”（C2829），企业规模标注为小型（小微企业），2025年参保人数26人。公开信息显示公司为增值税一般纳税人，2025年税务信用等级为A级。</w:t>
      </w:r>
    </w:p>
    <w:p>
      <w:pPr>
        <w:spacing w:lineRule="exact" w:line="600" w:before="0" w:after="0"/>
        <w:ind w:firstLine="420"/>
        <w:jc w:val="both"/>
      </w:pPr>
      <w:r>
        <w:rPr>
          <w:rFonts w:ascii="仿宋_GB2312" w:hAnsi="仿宋_GB2312" w:eastAsia="仿宋_GB2312"/>
          <w:b w:val="0"/>
          <w:color w:val="000000"/>
          <w:sz w:val="32"/>
        </w:rPr>
        <w:t>经营范围较为宽泛，一般项目包括高性能纤维及复合材料制造、新材料技术研发、生物基材料制造、塑料制品制造、专用化学产品制造（不含危险化学品）、生态环境材料制造，以及相应品类的销售、五金产品批发、货物进出口等；许可项目为食品用塑料包装容器工具制品生产。</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公司为单一法人主体，未公开披露下设子公司。管理层面设经理岗位，公开报道中出现的公司经理为白雪强，负责对外介绍产品与市场情况。生产组织上以改性造粒车间为核心，配套原料仓储、品控与销售职能。</w:t>
      </w:r>
    </w:p>
    <w:p>
      <w:pPr>
        <w:spacing w:lineRule="exact" w:line="600" w:before="0" w:after="0"/>
        <w:ind w:firstLine="420"/>
        <w:jc w:val="both"/>
      </w:pPr>
      <w:r>
        <w:rPr>
          <w:rFonts w:ascii="仿宋_GB2312" w:hAnsi="仿宋_GB2312" w:eastAsia="仿宋_GB2312"/>
          <w:b w:val="0"/>
          <w:color w:val="000000"/>
          <w:sz w:val="32"/>
        </w:rPr>
        <w:t>在关联投资方面，据直播日照2024年9月报道，公司因看好市场前景，投资3.3亿元新上“山东诺盛瑞新材料有限公司可降解改性新材料及高端塑料包装项目”，该项目负责人为张晓辉。诺盛瑞项目与中国科学院长春应用化学研究所教授团队合作，突破“生物降解高填充专用树脂材料”“高含量聚乳酸吹塑膜”等技术，并与旭科新材料等上游原料公司达成战略合作，形成从原料采购、技术研发到产品生产销售的完整产业链条。该关联项目投资规模远超华丽达自身注册资本，实际出资结构与股权关系未完整公开，需在尽职调查中重点核实。</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2022年9月，公司在莒县登记设立，落户刘官庄镇塑料产业园，主营方向确定为塑料功能助剂与各类母料。</w:t>
      </w:r>
    </w:p>
    <w:p>
      <w:pPr>
        <w:spacing w:lineRule="exact" w:line="600" w:before="0" w:after="0"/>
        <w:ind w:firstLine="420"/>
        <w:jc w:val="both"/>
      </w:pPr>
      <w:r>
        <w:rPr>
          <w:rFonts w:ascii="仿宋_GB2312" w:hAnsi="仿宋_GB2312" w:eastAsia="仿宋_GB2312"/>
          <w:b w:val="0"/>
          <w:color w:val="000000"/>
          <w:sz w:val="32"/>
        </w:rPr>
        <w:t>2024年5月21日，莒县行政审批服务局对公司“年产6万吨改性塑料颗粒项目”环境影响评价文件作出拟审批公示，公示期为2024年5月21日至5月23日。该项目建设地点位于莒县刘官庄镇高端塑料产业园区内，采取租赁现有厂房方式建设。</w:t>
      </w:r>
    </w:p>
    <w:p>
      <w:pPr>
        <w:spacing w:lineRule="exact" w:line="600" w:before="0" w:after="0"/>
        <w:ind w:firstLine="420"/>
        <w:jc w:val="both"/>
      </w:pPr>
      <w:r>
        <w:rPr>
          <w:rFonts w:ascii="仿宋_GB2312" w:hAnsi="仿宋_GB2312" w:eastAsia="仿宋_GB2312"/>
          <w:b w:val="0"/>
          <w:color w:val="000000"/>
          <w:sz w:val="32"/>
        </w:rPr>
        <w:t>2024年9月，直播日照报道公司产品畅销国内外，并披露其投资3.3亿元新上诺盛瑞可降解改性新材料及高端塑料包装项目，标志公司由单一改性造粒向“改性材料+高端包装”一体化延伸。</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公司定位为莒县生态塑料集群的“中游改性环节”企业，承担将上游可降解树脂与通用塑料原料转化为功能化、可降解改性材料的角色，向下游膜袋、包装、注塑制品企业供货。</w:t>
      </w:r>
    </w:p>
    <w:p>
      <w:pPr>
        <w:spacing w:lineRule="exact" w:line="600" w:before="0" w:after="0"/>
        <w:ind w:firstLine="420"/>
        <w:jc w:val="both"/>
      </w:pPr>
      <w:r>
        <w:rPr>
          <w:rFonts w:ascii="仿宋_GB2312" w:hAnsi="仿宋_GB2312" w:eastAsia="仿宋_GB2312"/>
          <w:b w:val="0"/>
          <w:color w:val="000000"/>
          <w:sz w:val="32"/>
        </w:rPr>
        <w:t>主营产品为各类塑料功能助剂及各类母料，包括填充母料、功能性母料、改性塑料颗粒等，属环保性塑料制品的可降解塑料和高科技功能性新型材料范畴。公司经理白雪强在公开采访中表示，公司产品特点主要是符合国家环保降解要求。</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主要来源于改性塑料颗粒与功能母料的销售。公司未公开披露分产品收入构成、年度营业收入规模及各品类毛利水平。从产能规划看，年产6万吨改性塑料颗粒项目建成后，改性颗粒将成为公司绝对主导的收入来源。</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第一类为塑料功能助剂，用于改善塑料制品的加工性能、力学性能与耐候性能。第二类为各类母料，包括填充母料（碳酸钙等无机填料高比例填充）、色母料及功能母料，是刘官庄镇作为“全国最大塑料填充母料生产基地”的传统优势品类。第三类为可降解改性塑料颗粒，符合国家环保降解要求，是公司当前主推的转型方向。</w:t>
      </w:r>
    </w:p>
    <w:p>
      <w:pPr>
        <w:spacing w:lineRule="exact" w:line="600" w:before="0" w:after="0"/>
        <w:ind w:firstLine="420"/>
        <w:jc w:val="both"/>
      </w:pPr>
      <w:r>
        <w:rPr>
          <w:rFonts w:ascii="仿宋_GB2312" w:hAnsi="仿宋_GB2312" w:eastAsia="仿宋_GB2312"/>
          <w:b w:val="0"/>
          <w:color w:val="000000"/>
          <w:sz w:val="32"/>
        </w:rPr>
        <w:t>在建的年产6万吨改性塑料颗粒项目，工艺路线为“原料—立磨/气流磨粉碎—二级分级—高速混合—双螺杆挤出—切粒”，属于典型的物理改性造粒工艺，技术成熟度高、进入门槛相对较低，产品差异化主要体现在配方与稳定性上。</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据公司经理白雪强公开介绍，公司所有产品销往河南、安徽、福建、广东等十几个塑料产业集中区，并出口到东南亚、南亚、中亚等地区，市场前景较好。这一客户分布说明公司已跳出本地配套，形成面向全国主要塑料加工集聚区的销售网络，客户较为分散，单一客户依赖度相对可控。</w:t>
      </w:r>
    </w:p>
    <w:p>
      <w:pPr>
        <w:spacing w:lineRule="exact" w:line="600" w:before="0" w:after="0"/>
        <w:ind w:firstLine="420"/>
        <w:jc w:val="both"/>
      </w:pPr>
      <w:r>
        <w:rPr>
          <w:rFonts w:ascii="仿宋_GB2312" w:hAnsi="仿宋_GB2312" w:eastAsia="仿宋_GB2312"/>
          <w:b w:val="0"/>
          <w:color w:val="000000"/>
          <w:sz w:val="32"/>
        </w:rPr>
        <w:t>出口方面，公司经营范围含货物进出口，目标市场为东南亚、南亚、中亚，这些区域塑料加工业正处于承接产能转移阶段，对中低端改性料需求增长较快，但也面临汇率波动与信用风险。公司未公开披露前五大客户及集中度。</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原料主要包括通用塑料树脂（PE、PP等）、无机填料（重质碳酸钙、滑石粉等）、可降解树脂（PBAT、PBS、PLA等）及各类助剂。其中可降解树脂可就近向园区内的旭科新材料等上游企业采购，具备缩短供应链的天然条件。公开报道显示，其关联的诺盛瑞项目已与旭科新材料等上游原料公司达成战略合作。公司未公开披露供应商名称与采购集中度。</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产能方面，年产6万吨改性塑料颗粒项目达产后，公司将形成较为可观的改性造粒能力。根据环评公示，该项目购置立磨6台、气流磨6台、二级分级机6台、高速混料机30台、双螺杆挤出机30台、切粒机30台，设备配置数量较大，属多线并行的批量化生产布局。</w:t>
      </w:r>
    </w:p>
    <w:p>
      <w:pPr>
        <w:spacing w:lineRule="exact" w:line="600" w:before="0" w:after="0"/>
        <w:ind w:firstLine="420"/>
        <w:jc w:val="both"/>
      </w:pPr>
      <w:r>
        <w:rPr>
          <w:rFonts w:ascii="仿宋_GB2312" w:hAnsi="仿宋_GB2312" w:eastAsia="仿宋_GB2312"/>
          <w:b w:val="0"/>
          <w:color w:val="000000"/>
          <w:sz w:val="32"/>
        </w:rPr>
        <w:t>需注意的是，项目采取租赁现有厂房方式建设，公司自有不动产较少，资产以设备和存货为主，抵押物相对不足，这对传统抵押担保类融资构成制约。</w:t>
      </w:r>
    </w:p>
    <w:p>
      <w:pPr>
        <w:spacing w:lineRule="exact" w:line="600" w:before="0" w:after="0"/>
        <w:ind w:firstLine="420"/>
        <w:jc w:val="both"/>
      </w:pPr>
      <w:r>
        <w:rPr>
          <w:rFonts w:ascii="仿宋_GB2312" w:hAnsi="仿宋_GB2312" w:eastAsia="仿宋_GB2312"/>
          <w:b w:val="0"/>
          <w:color w:val="000000"/>
          <w:sz w:val="32"/>
        </w:rPr>
        <w:t>牌照方面，公司持有食品用塑料包装容器工具制品生产许可项目资质，这是进入食品级包装领域的必要门槛。环保方面，项目已取得环评拟审批公示，须按批复落实废气废水治理措施。</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以直销为主，面向全国塑料产业集中区的加工企业供货，并通过外贸渠道拓展东南亚、南亚、中亚市场。改性料行业的销售高度依赖配方适配与试样验证，客户一旦形成使用习惯，转换成本中等偏上，具有一定黏性。</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未公开披露产量、产值、市场占有率等经营数据。从企业规模看，公司参保26人、注册资本300万元、标注为小微企业，在集群内属于中小规模企业。其战略意义主要体现在两点：一是承担集群改性环节的功能补位，二是通过关联的诺盛瑞3.3亿元项目实现能级跃升，是集群内典型的“成长中小企业”样本。</w:t>
      </w:r>
    </w:p>
    <w:p>
      <w:pPr>
        <w:spacing w:lineRule="exact" w:line="600" w:before="0" w:after="0"/>
        <w:ind w:firstLine="420"/>
        <w:jc w:val="both"/>
      </w:pPr>
      <w:r>
        <w:rPr>
          <w:rFonts w:ascii="仿宋_GB2312" w:hAnsi="仿宋_GB2312" w:eastAsia="仿宋_GB2312"/>
          <w:b w:val="0"/>
          <w:color w:val="000000"/>
          <w:sz w:val="32"/>
        </w:rPr>
        <w:t>需要特别指出，公司参保人数26人与其规划的年产6万吨改性颗粒项目（30台双螺杆挤出机）在人力配置上存在明显不匹配，说明该项目尚处建设期，或存在多主体协同用工安排，实际达产进度需进一步核实。</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非上市小微企业，未在任何法定信息披露平台公开定期财务报告。经检索天眼查、启信宝、政府门户网站及公开媒体，未能获取公司营业收入、净利润、毛利率、资产负债率、经营活动现金流量净额等任何年度财务指标。本报告如实标注：财务数据未公开披露，不作任何推算。</w:t>
      </w:r>
    </w:p>
    <w:p>
      <w:pPr>
        <w:spacing w:lineRule="exact" w:line="600" w:before="0" w:after="0"/>
        <w:ind w:firstLine="420"/>
        <w:jc w:val="both"/>
      </w:pPr>
      <w:r>
        <w:rPr>
          <w:rFonts w:ascii="仿宋_GB2312" w:hAnsi="仿宋_GB2312" w:eastAsia="仿宋_GB2312"/>
          <w:b w:val="0"/>
          <w:color w:val="000000"/>
          <w:sz w:val="32"/>
        </w:rPr>
        <w:t>可确认的量化信息仅有：注册资本300万元人民币（认缴口径）、2025年参保人数26人、企业规模为小型（小微企业）、2025年税务信用等级A级、增值税一般纳税人身份，以及关联项目投资额3.3亿元。</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税务信用等级为A级，说明其纳税申报规范、无重大涉税违法记录，通常A级评定要求年度评价指标得分90分以上，间接反映公司有持续的应税收入和规范的财务核算基础，是一个正面信号。但税务信用等级不能替代盈利能力判断。从行业看，塑料改性造粒属于加工型业务，毛利率通常在8%—15%区间，盈利高度依赖规模与原料价差管理，公司实际盈利水平不详。</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资产以生产设备、存货和应收账款为主，厂房系租赁取得，不动产权属资产较少。存货方面，改性料原料与成品价格随石化产品价格波动，存在跌价风险。应收账款方面，客户分布于全国十几个产业集中区且含出口业务，账款管理半径大、回收难度相对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公司资产负债率未公开。需高度关注的是，启信宝公开信息显示该公司存在“被执行人”标签及2条司法案件、自身风险提示，启信分为521分（属中等偏下水平）。被执行记录通常意味着公司曾有生效法律文书确定的义务未按期履行，这对其偿债意愿与偿债能力构成负面信号，在授信决策中应作为重要风险因子予以核实。本报告仅引述第三方平台的公开标签，具体案由、涉案金额及执行结果需通过中国执行信息公开网、裁判文书网进一步核查。</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量表未公开。定性判断，公司若推进年产6万吨改性颗粒项目及关联的3.3亿元诺盛瑞项目，投资性现金流出压力较大，而其自有资本金规模（注册资本300万元）与项目投资体量存在数量级差距，对外部融资的依赖度极高，这是本企业最突出的财务特征与风险点。</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改性塑料行业上市公司如金发科技、普利特、道恩股份等，资产负债率多在45%—60%区间，毛利率在12%—20%区间。华丽达作为小微企业，规模效应、议价能力、研发投入均显著弱于上述企业，抗风险能力更低。因公司自身数据缺失，本报告不作具体数值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不设股东会，由股东庄乾英行使股东职权，重大决策由实际控制人个人决定。这种结构效率高、响应快，但缺乏内部制衡，存在“个人风险即企业风险”的治理隐患，实际控制人的个人信用、健康状况、对外担保情况均可能直接传导至公司层面。</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公开信息中可确认的管理人员为法定代表人庄乾英与公司经理白雪强。白雪强在公开采访中对产品定位、市场分布表述清晰，显示管理层对市场有较好把握。其他高管及部门负责人信息未公开披露。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规模较小，组织结构扁平。税务信用A级、增值税一般纳税人身份说明其财务核算与税务合规达到一定规范水平。但被执行人记录与司法案件的存在，提示其在合同履约管理、债务管理环节可能存在薄弱之处。公司未公开披露质量管理体系认证情况。</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26人（2025年），人员规模小于50人，属典型小微企业配置。在技术人才方面，公司自身研发力量有限，主要通过关联项目与中国科学院长春应用化学研究所教授团队合作获取外部技术支持，这是县域中小企业提升技术能级的常见路径，但也意味着核心技术的自主可控程度不高。</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第一，产业集群配套优势。公司位于全国最大的塑料填充母料生产基地内，上游可就近获取可降解树脂原料，下游紧邻上千家塑料加工企业，信息、物流、配套成本优势明显。</w:t>
      </w:r>
    </w:p>
    <w:p>
      <w:pPr>
        <w:spacing w:lineRule="exact" w:line="600" w:before="0" w:after="0"/>
        <w:ind w:firstLine="420"/>
        <w:jc w:val="both"/>
      </w:pPr>
      <w:r>
        <w:rPr>
          <w:rFonts w:ascii="仿宋_GB2312" w:hAnsi="仿宋_GB2312" w:eastAsia="仿宋_GB2312"/>
          <w:b w:val="0"/>
          <w:color w:val="000000"/>
          <w:sz w:val="32"/>
        </w:rPr>
        <w:t>第二，市场网络优势。公司产品已覆盖河南、安徽、福建、广东等十几个塑料产业集中区并出口东南亚、南亚、中亚，对小微企业而言，这一销售半径与出口能力具有一定稀缺性。</w:t>
      </w:r>
    </w:p>
    <w:p>
      <w:pPr>
        <w:spacing w:lineRule="exact" w:line="600" w:before="0" w:after="0"/>
        <w:ind w:firstLine="420"/>
        <w:jc w:val="both"/>
      </w:pPr>
      <w:r>
        <w:rPr>
          <w:rFonts w:ascii="仿宋_GB2312" w:hAnsi="仿宋_GB2312" w:eastAsia="仿宋_GB2312"/>
          <w:b w:val="0"/>
          <w:color w:val="000000"/>
          <w:sz w:val="32"/>
        </w:rPr>
        <w:t>第三，绿色合规先发优势。公司产品定位符合国家环保降解要求，并持有食品用塑料包装容器工具制品生产许可，在“禁塑令”与食品接触材料监管趋严背景下具备准入优势。</w:t>
      </w:r>
    </w:p>
    <w:p>
      <w:pPr>
        <w:spacing w:lineRule="exact" w:line="600" w:before="0" w:after="0"/>
        <w:ind w:firstLine="420"/>
        <w:jc w:val="both"/>
      </w:pPr>
      <w:r>
        <w:rPr>
          <w:rFonts w:ascii="仿宋_GB2312" w:hAnsi="仿宋_GB2312" w:eastAsia="仿宋_GB2312"/>
          <w:b w:val="0"/>
          <w:color w:val="000000"/>
          <w:sz w:val="32"/>
        </w:rPr>
        <w:t>第四，外部技术嫁接能力。通过关联项目与中科院长春应化所团队合作，突破生物降解高填充专用树脂材料、高含量聚乳酸吹塑膜等技术，为产品升级提供技术储备。</w:t>
      </w:r>
    </w:p>
    <w:p>
      <w:pPr>
        <w:spacing w:lineRule="exact" w:line="600" w:before="0" w:after="0"/>
        <w:ind w:firstLine="420"/>
        <w:jc w:val="both"/>
      </w:pPr>
      <w:r>
        <w:rPr>
          <w:rFonts w:ascii="仿宋_GB2312" w:hAnsi="仿宋_GB2312" w:eastAsia="仿宋_GB2312"/>
          <w:b w:val="0"/>
          <w:color w:val="000000"/>
          <w:sz w:val="32"/>
        </w:rPr>
        <w:t>需客观指出，上述优势多属“区位型”与“合作型”优势，公司自身的技术壁垒、品牌壁垒与资金壁垒均不明显，改性造粒环节进入门槛相对较低，护城河深度有限。</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塑料改性造粒行业集中度低、同质化竞争激烈，毛利空间受上游树脂价格与下游制品企业压价双重挤压。同时，环保监管持续趋严，VOCs治理、粉尘治理投入不断增加，中小企业成本压力上升。国家统一大市场建设与塑料产业规范整治，可能进一步加速落后产能出清。</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产能与人力不匹配风险，年产6万吨项目所需的生产组织能力与公司现有26人的团队规模存在较大缺口；二是租赁厂房风险，生产场地非自有，若租约到期无法续签或租金上涨，将影响生产连续性；三是出口业务风险，东南亚、南亚、中亚市场信用环境复杂，存在收汇风险与汇率波动风险。</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这是本企业最需警惕的方面。公司注册资本仅300万元，却关联投资3.3亿元项目，资本金与投资规模严重失衡，高度依赖债务融资，杠杆风险突出。叠加公开渠道显示的被执行人标签与2条司法案件，公司的债务履约记录存在瑕疵。在财务报表完全不公开的情况下，其真实偿债能力无法评估。</w:t>
      </w:r>
    </w:p>
    <w:p>
      <w:pPr>
        <w:spacing w:lineRule="exact" w:line="600" w:before="120" w:after="120"/>
        <w:ind w:firstLine="420"/>
        <w:jc w:val="left"/>
      </w:pPr>
      <w:r>
        <w:rPr>
          <w:rFonts w:ascii="楷体_GB2312" w:hAnsi="楷体_GB2312" w:eastAsia="楷体_GB2312"/>
          <w:b w:val="0"/>
          <w:color w:val="000000"/>
          <w:sz w:val="32"/>
        </w:rPr>
        <w:t>（四）合规与法律风险</w:t>
      </w:r>
    </w:p>
    <w:p>
      <w:pPr>
        <w:spacing w:lineRule="exact" w:line="600" w:before="0" w:after="0"/>
        <w:ind w:firstLine="420"/>
        <w:jc w:val="both"/>
      </w:pPr>
      <w:r>
        <w:rPr>
          <w:rFonts w:ascii="仿宋_GB2312" w:hAnsi="仿宋_GB2312" w:eastAsia="仿宋_GB2312"/>
          <w:b w:val="0"/>
          <w:color w:val="000000"/>
          <w:sz w:val="32"/>
        </w:rPr>
        <w:t>公司存在司法案件与被执行记录，需核实是否涉及合同纠纷、买卖合同货款纠纷或借贷纠纷，以及是否已履行完毕。若存在未结清的执行案件，其银行账户、设备等资产可能已被查封或冻结，将直接影响后续融资的可操作性。此外，食品接触材料生产须持续满足GB 4806系列标准要求，存在质量合规风险。</w:t>
      </w:r>
    </w:p>
    <w:p>
      <w:pPr>
        <w:spacing w:lineRule="exact" w:line="600" w:before="120" w:after="120"/>
        <w:ind w:firstLine="420"/>
        <w:jc w:val="left"/>
      </w:pPr>
      <w:r>
        <w:rPr>
          <w:rFonts w:ascii="楷体_GB2312" w:hAnsi="楷体_GB2312" w:eastAsia="楷体_GB2312"/>
          <w:b w:val="0"/>
          <w:color w:val="000000"/>
          <w:sz w:val="32"/>
        </w:rPr>
        <w:t>（五）管理风险</w:t>
      </w:r>
    </w:p>
    <w:p>
      <w:pPr>
        <w:spacing w:lineRule="exact" w:line="600" w:before="0" w:after="0"/>
        <w:ind w:firstLine="420"/>
        <w:jc w:val="both"/>
      </w:pPr>
      <w:r>
        <w:rPr>
          <w:rFonts w:ascii="仿宋_GB2312" w:hAnsi="仿宋_GB2312" w:eastAsia="仿宋_GB2312"/>
          <w:b w:val="0"/>
          <w:color w:val="000000"/>
          <w:sz w:val="32"/>
        </w:rPr>
        <w:t>自然人独资结构下，实际控制人个人决策失误或个人债务问题可能直接冲击企业经营。公司缺乏规范的董事会、监事会制衡机制，关联交易（如与诺盛瑞项目之间的资金往来）缺少内部审议程序约束，存在资金占用与利益输送隐患。</w:t>
      </w:r>
    </w:p>
    <w:p>
      <w:pPr>
        <w:spacing w:lineRule="exact" w:line="600" w:before="120" w:after="120"/>
        <w:ind w:firstLine="420"/>
        <w:jc w:val="left"/>
      </w:pPr>
      <w:r>
        <w:rPr>
          <w:rFonts w:ascii="黑体" w:hAnsi="黑体" w:eastAsia="黑体"/>
          <w:b w:val="0"/>
          <w:color w:val="000000"/>
          <w:sz w:val="32"/>
        </w:rPr>
        <w:t>七、融资需求与山东投资协同建议</w:t>
      </w:r>
    </w:p>
    <w:p>
      <w:pPr>
        <w:spacing w:lineRule="exact" w:line="600" w:before="120" w:after="120"/>
        <w:ind w:firstLine="420"/>
        <w:jc w:val="left"/>
      </w:pPr>
      <w:r>
        <w:rPr>
          <w:rFonts w:ascii="楷体_GB2312" w:hAnsi="楷体_GB2312" w:eastAsia="楷体_GB2312"/>
          <w:b w:val="0"/>
          <w:color w:val="000000"/>
          <w:sz w:val="32"/>
        </w:rPr>
        <w:t>（一）总体授信策略</w:t>
      </w:r>
    </w:p>
    <w:p>
      <w:pPr>
        <w:spacing w:lineRule="exact" w:line="600" w:before="0" w:after="0"/>
        <w:ind w:firstLine="420"/>
        <w:jc w:val="both"/>
      </w:pPr>
      <w:r>
        <w:rPr>
          <w:rFonts w:ascii="仿宋_GB2312" w:hAnsi="仿宋_GB2312" w:eastAsia="仿宋_GB2312"/>
          <w:b w:val="0"/>
          <w:color w:val="000000"/>
          <w:sz w:val="32"/>
        </w:rPr>
        <w:t>鉴于公司存在被执行人标签与司法案件、注册资本与投资规模严重失衡、财务数据完全不透明等问题，建议将其列为“审慎准入、小额试水、强担保”类客户，在完成司法风险核查并确认无未结执行案件之前，暂不给予授信。</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若风险核查通过，可考虑针对公司对优质下游客户的应收账款开展有追索权保理，严格实行“逐笔核验发票+买方确权”，融资比例控制在发票金额的60%—70%，并将回款账户设为共管账户。对出口应收账款，建议要求投保出口信用保险并办理赔款权益转让。</w:t>
      </w:r>
    </w:p>
    <w:p>
      <w:pPr>
        <w:spacing w:lineRule="exact" w:line="600" w:before="120" w:after="120"/>
        <w:ind w:firstLine="420"/>
        <w:jc w:val="left"/>
      </w:pPr>
      <w:r>
        <w:rPr>
          <w:rFonts w:ascii="楷体_GB2312" w:hAnsi="楷体_GB2312" w:eastAsia="楷体_GB2312"/>
          <w:b w:val="0"/>
          <w:color w:val="000000"/>
          <w:sz w:val="32"/>
        </w:rPr>
        <w:t>（三）供应链金融</w:t>
      </w:r>
    </w:p>
    <w:p>
      <w:pPr>
        <w:spacing w:lineRule="exact" w:line="600" w:before="0" w:after="0"/>
        <w:ind w:firstLine="420"/>
        <w:jc w:val="both"/>
      </w:pPr>
      <w:r>
        <w:rPr>
          <w:rFonts w:ascii="仿宋_GB2312" w:hAnsi="仿宋_GB2312" w:eastAsia="仿宋_GB2312"/>
          <w:b w:val="0"/>
          <w:color w:val="000000"/>
          <w:sz w:val="32"/>
        </w:rPr>
        <w:t>更为稳妥的路径是将公司纳入以旭科新材料等园区链主企业为核心的供应链金融体系，以其对链主的真实采购交易为基础，提供小额、短期、自偿性强的采购融资，由链主企业承担一定的信息共享与回款监督责任，通过交易闭环替代主体信用不足。</w:t>
      </w:r>
    </w:p>
    <w:p>
      <w:pPr>
        <w:spacing w:lineRule="exact" w:line="600" w:before="120" w:after="120"/>
        <w:ind w:firstLine="420"/>
        <w:jc w:val="left"/>
      </w:pPr>
      <w:r>
        <w:rPr>
          <w:rFonts w:ascii="楷体_GB2312" w:hAnsi="楷体_GB2312" w:eastAsia="楷体_GB2312"/>
          <w:b w:val="0"/>
          <w:color w:val="000000"/>
          <w:sz w:val="32"/>
        </w:rPr>
        <w:t>（四）融资租赁</w:t>
      </w:r>
    </w:p>
    <w:p>
      <w:pPr>
        <w:spacing w:lineRule="exact" w:line="600" w:before="0" w:after="0"/>
        <w:ind w:firstLine="420"/>
        <w:jc w:val="both"/>
      </w:pPr>
      <w:r>
        <w:rPr>
          <w:rFonts w:ascii="仿宋_GB2312" w:hAnsi="仿宋_GB2312" w:eastAsia="仿宋_GB2312"/>
          <w:b w:val="0"/>
          <w:color w:val="000000"/>
          <w:sz w:val="32"/>
        </w:rPr>
        <w:t>公司年产6万吨改性颗粒项目需购置立磨、气流磨、分级机、高速混料机、双螺杆挤出机、切粒机等大量设备，设备融资租赁需求明确。但需注意：一是厂房系租赁，设备安装在租赁场地存在处置执行难度；二是双螺杆挤出机等设备虽有二手流通市场但残值折损较快。建议若开展直租业务，首付比例不低于30%，租期不超过3年，并要求实际控制人及配偶提供无限连带责任担保，同时取得出租方（厂房业主）出具的设备不受场地租赁关系影响的确认函。</w:t>
      </w:r>
    </w:p>
    <w:p>
      <w:pPr>
        <w:spacing w:lineRule="exact" w:line="600" w:before="120" w:after="120"/>
        <w:ind w:firstLine="420"/>
        <w:jc w:val="left"/>
      </w:pPr>
      <w:r>
        <w:rPr>
          <w:rFonts w:ascii="楷体_GB2312" w:hAnsi="楷体_GB2312" w:eastAsia="楷体_GB2312"/>
          <w:b w:val="0"/>
          <w:color w:val="000000"/>
          <w:sz w:val="32"/>
        </w:rPr>
        <w:t>（五）小额贷款</w:t>
      </w:r>
    </w:p>
    <w:p>
      <w:pPr>
        <w:spacing w:lineRule="exact" w:line="600" w:before="0" w:after="0"/>
        <w:ind w:firstLine="420"/>
        <w:jc w:val="both"/>
      </w:pPr>
      <w:r>
        <w:rPr>
          <w:rFonts w:ascii="仿宋_GB2312" w:hAnsi="仿宋_GB2312" w:eastAsia="仿宋_GB2312"/>
          <w:b w:val="0"/>
          <w:color w:val="000000"/>
          <w:sz w:val="32"/>
        </w:rPr>
        <w:t>小贷产品与公司体量匹配度较高，可作为首次合作的试水工具。建议单户额度控制在100万—300万元，期限6—12个月，以实际控制人个人连带担保加设备抵押或第三方保证方式增信，并按月核查其税务申报、用电量与销售回款数据，建立动态预警。</w:t>
      </w:r>
    </w:p>
    <w:p>
      <w:pPr>
        <w:spacing w:lineRule="exact" w:line="600" w:before="120" w:after="120"/>
        <w:ind w:firstLine="420"/>
        <w:jc w:val="left"/>
      </w:pPr>
      <w:r>
        <w:rPr>
          <w:rFonts w:ascii="楷体_GB2312" w:hAnsi="楷体_GB2312" w:eastAsia="楷体_GB2312"/>
          <w:b w:val="0"/>
          <w:color w:val="000000"/>
          <w:sz w:val="32"/>
        </w:rPr>
        <w:t>（六）尽职调查要点</w:t>
      </w:r>
    </w:p>
    <w:p>
      <w:pPr>
        <w:spacing w:lineRule="exact" w:line="600" w:before="0" w:after="0"/>
        <w:ind w:firstLine="420"/>
        <w:jc w:val="both"/>
      </w:pPr>
      <w:r>
        <w:rPr>
          <w:rFonts w:ascii="仿宋_GB2312" w:hAnsi="仿宋_GB2312" w:eastAsia="仿宋_GB2312"/>
          <w:b w:val="0"/>
          <w:color w:val="000000"/>
          <w:sz w:val="32"/>
        </w:rPr>
        <w:t>合作前必须完成以下核查：一是通过中国执行信息公开网、中国裁判文书网核实2条司法案件的案由、标的额与执行状态；二是获取近两年经审计财务报表或税务申报表、银行流水、增值税发票明细；三是核实3.3亿元诺盛瑞项目的实际出资来源、股权结构及其与本公司的资金往来；四是实地核查厂房租赁合同期限与设备安装、运行状况；五是核查食品用塑料包装容器工具制品生产许可证的有效期。</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华丽达新材料有限公司是莒县生态塑料集群中游改性环节的典型成长型小微企业。其正面因素包括：产品符合国家环保降解方向、销售网络覆盖全国十几个产业集中区并实现出口、税务信用A级、持有食品接触材料生产许可、通过关联项目对接中科院技术资源、在建年产6万吨改性颗粒项目有望显著提升产能。</w:t>
      </w:r>
    </w:p>
    <w:p>
      <w:pPr>
        <w:spacing w:lineRule="exact" w:line="600" w:before="0" w:after="0"/>
        <w:ind w:firstLine="420"/>
        <w:jc w:val="both"/>
      </w:pPr>
      <w:r>
        <w:rPr>
          <w:rFonts w:ascii="仿宋_GB2312" w:hAnsi="仿宋_GB2312" w:eastAsia="仿宋_GB2312"/>
          <w:b w:val="0"/>
          <w:color w:val="000000"/>
          <w:sz w:val="32"/>
        </w:rPr>
        <w:t>负面因素同样突出：注册资本仅300万元、参保26人，主体实力单薄；厂房为租赁、抵押物不足；存在被执行人标签与2条司法案件；财务数据完全不透明；关联投资规模与自身资本金严重失衡。综合评价为“方向正确、成长性存在，但主体信用瑕疵明显、透明度低”的高风险成长型企业。</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据公司规划与集群趋势判断，若年产6万吨改性塑料颗粒项目与诺盛瑞可降解改性新材料及高端塑料包装项目顺利建成投产，公司有望从单纯的改性料供应商升级为“改性材料+高端包装”一体化供应商，在集群内的位次将明显前移。刘官庄镇正在推动塑料产业绿色化、品牌化、高端化转型，并已建立“互联网+产业+金融”的融资支持机制，外部环境对公司发展总体有利。</w:t>
      </w:r>
    </w:p>
    <w:p>
      <w:pPr>
        <w:spacing w:lineRule="exact" w:line="600" w:before="120" w:after="120"/>
        <w:ind w:firstLine="420"/>
        <w:jc w:val="left"/>
      </w:pPr>
      <w:r>
        <w:rPr>
          <w:rFonts w:ascii="楷体_GB2312" w:hAnsi="楷体_GB2312" w:eastAsia="楷体_GB2312"/>
          <w:b w:val="0"/>
          <w:color w:val="000000"/>
          <w:sz w:val="32"/>
        </w:rPr>
        <w:t>（三）主要挑战</w:t>
      </w:r>
    </w:p>
    <w:p>
      <w:pPr>
        <w:spacing w:lineRule="exact" w:line="600" w:before="0" w:after="0"/>
        <w:ind w:firstLine="420"/>
        <w:jc w:val="both"/>
      </w:pPr>
      <w:r>
        <w:rPr>
          <w:rFonts w:ascii="仿宋_GB2312" w:hAnsi="仿宋_GB2312" w:eastAsia="仿宋_GB2312"/>
          <w:b w:val="0"/>
          <w:color w:val="000000"/>
          <w:sz w:val="32"/>
        </w:rPr>
        <w:t>一是资金链能否支撑数亿元级项目投资；二是司法风险与被执行记录对融资与商誉的持续影响；三是改性料行业同质化竞争下的盈利空间压缩；四是小微企业治理规范化程度不足；五是环保与食品安全监管趋严带来的合规成本上升。</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该企业具备产业方向上的正确性和一定的市场基础，但主体信用与财务透明度不足，不适合作为大额、长期资金的投放对象。建议：一是先行开展司法风险与财务真实性核查，核查未通过则不予准入；二是核查通过后，优先采用嵌入链主交易场景的供应链金融或小额短期贷款试水，严控单户敞口；三是建立以税务、用电、回款为核心的月度监测机制；四是持续跟踪年产6万吨项目与诺盛瑞项目的实际建设进度与资金到位情况，作为提额或退出的判断依据。</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jc w:val="left"/>
      </w:pPr>
      <w:r>
        <w:rPr>
          <w:rFonts w:ascii="仿宋_GB2312" w:hAnsi="仿宋_GB2312" w:eastAsia="仿宋_GB2312"/>
          <w:b w:val="0"/>
          <w:color w:val="000000"/>
          <w:sz w:val="28"/>
        </w:rPr>
        <w:t>1. 天眼查：山东华丽达新材料有限公司企业基础信息（统一社会信用代码91371122MABYQ3XE2F）。</w:t>
      </w:r>
    </w:p>
    <w:p>
      <w:pPr>
        <w:spacing w:lineRule="exact" w:line="600" w:before="0" w:after="0"/>
        <w:jc w:val="left"/>
      </w:pPr>
      <w:r>
        <w:rPr>
          <w:rFonts w:ascii="仿宋_GB2312" w:hAnsi="仿宋_GB2312" w:eastAsia="仿宋_GB2312"/>
          <w:b w:val="0"/>
          <w:color w:val="000000"/>
          <w:sz w:val="28"/>
        </w:rPr>
        <w:t>2. 启信宝：山东华丽达新材料有限公司企业信息及风险提示（含税务信用等级、司法案件、参保人数）。</w:t>
      </w:r>
    </w:p>
    <w:p>
      <w:pPr>
        <w:spacing w:lineRule="exact" w:line="600" w:before="0" w:after="0"/>
        <w:jc w:val="left"/>
      </w:pPr>
      <w:r>
        <w:rPr>
          <w:rFonts w:ascii="仿宋_GB2312" w:hAnsi="仿宋_GB2312" w:eastAsia="仿宋_GB2312"/>
          <w:b w:val="0"/>
          <w:color w:val="000000"/>
          <w:sz w:val="28"/>
        </w:rPr>
        <w:t>3. 莒县行政审批服务局：《关于山东华丽达新材料有限公司年产6万吨改性塑料颗粒项目拟审批公示》，2024年5月21日。</w:t>
      </w:r>
    </w:p>
    <w:p>
      <w:pPr>
        <w:spacing w:lineRule="exact" w:line="600" w:before="0" w:after="0"/>
        <w:jc w:val="left"/>
      </w:pPr>
      <w:r>
        <w:rPr>
          <w:rFonts w:ascii="仿宋_GB2312" w:hAnsi="仿宋_GB2312" w:eastAsia="仿宋_GB2312"/>
          <w:b w:val="0"/>
          <w:color w:val="000000"/>
          <w:sz w:val="28"/>
        </w:rPr>
        <w:t>4. 直播日照/今日头条：《稳扎稳打有干头｜莒县刘官庄镇：塑料产业“向新”“添绿”》，2024年9月28日。</w:t>
      </w:r>
    </w:p>
    <w:p>
      <w:pPr>
        <w:spacing w:lineRule="exact" w:line="600" w:before="0" w:after="0"/>
        <w:jc w:val="left"/>
      </w:pPr>
      <w:r>
        <w:rPr>
          <w:rFonts w:ascii="仿宋_GB2312" w:hAnsi="仿宋_GB2312" w:eastAsia="仿宋_GB2312"/>
          <w:b w:val="0"/>
          <w:color w:val="000000"/>
          <w:sz w:val="28"/>
        </w:rPr>
        <w:t>5. 集群背景数据引自莒县融媒、消费日报《“中国塑料产业第一镇”是怎样炼成的？》等公开报道。</w:t>
      </w:r>
    </w:p>
    <w:p>
      <w:pPr>
        <w:spacing w:lineRule="exact" w:line="600" w:before="0" w:after="0"/>
        <w:jc w:val="left"/>
      </w:pPr>
      <w:r>
        <w:rPr>
          <w:rFonts w:ascii="仿宋_GB2312" w:hAnsi="仿宋_GB2312" w:eastAsia="仿宋_GB2312"/>
          <w:b w:val="0"/>
          <w:color w:val="000000"/>
          <w:sz w:val="28"/>
        </w:rPr>
        <w:t>6. 本报告未使用任何未经公开披露的财务数据；公司财务报表未公开披露，已在正文中如实标注。</w:t>
      </w:r>
    </w:p>
    <w:p>
      <w:pPr>
        <w:spacing w:lineRule="exact" w:line="600" w:before="0" w:after="0"/>
        <w:jc w:val="left"/>
      </w:pPr>
      <w:r>
        <w:rPr>
          <w:rFonts w:ascii="仿宋_GB2312" w:hAnsi="仿宋_GB2312" w:eastAsia="仿宋_GB2312"/>
          <w:b w:val="0"/>
          <w:color w:val="000000"/>
          <w:sz w:val="28"/>
        </w:rPr>
        <w:t>7. 关于司法案件与被执行标签，本报告仅引述第三方商业查询平台的公开展示信息，具体情况以中国执行信息公开网、中国裁判文书网权威查询结果为准。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