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山东日照莒县(生态塑料智造)特色产业集群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旭科新材料（山东）有限责任公司企业分析报告</w:t>
      </w:r>
    </w:p>
    <w:p>
      <w:pPr>
        <w:spacing w:lineRule="exact" w:line="600" w:before="0" w:after="0"/>
        <w:jc w:val="left"/>
      </w:pPr>
      <w:r>
        <w:rPr>
          <w:rFonts w:ascii="仿宋_GB2312" w:hAnsi="仿宋_GB2312" w:eastAsia="仿宋_GB2312"/>
          <w:b w:val="0"/>
          <w:color w:val="000000"/>
          <w:sz w:val="28"/>
        </w:rPr>
        <w:t>（本报告依据公司官网、莒县人民政府门户网站、日照市人民政府门户网站、消费日报、山东高校毕业生就业信息网企业公开信息等公开渠道整理，统计时点截至最新公开披露信息。该公司为非上市外商投资企业，完整财务报表未公开披露，凡涉及财务数据处均已如实标注口径与来源，未作任何推算或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莒县地处山东省日照市西部，是全国重要的塑料制品加工基地。集群核心承载区刘官庄镇被业界称为“中国塑料产业第一镇”，是全国最大的膜袋类塑料生产基地和塑料填充母料生产基地。据莒县融媒、消费日报等公开报道，刘官庄镇塑料产业集群年加工能力达160余万吨，年产值超200亿元；2024年上半年，全镇1100余家塑料产业企业完成产值110亿元。2017年环保风暴之后，镇党委、政府规划建设“一轴四园”工业区，取缔造粒散户480家、规范塑料企业421家，建设刘官庄高端塑料产业园并引导企业入园，推动塑料产业向“规模化、集群化、集约化、园区化、高端化”方向发展。与之配套的日照海右化工园区为省级化工园区，按照“龙头企业带动、配套企业跟进、产业集群发展”的链式思路，以原油炼化加工为源头形成新材料、化工等产业板块，为集群提供“油头”原料支撑。</w:t>
      </w:r>
    </w:p>
    <w:p>
      <w:pPr>
        <w:spacing w:lineRule="exact" w:line="600" w:before="0" w:after="0"/>
        <w:ind w:firstLine="420"/>
        <w:jc w:val="both"/>
      </w:pPr>
      <w:r>
        <w:rPr>
          <w:rFonts w:ascii="仿宋_GB2312" w:hAnsi="仿宋_GB2312" w:eastAsia="仿宋_GB2312"/>
          <w:b w:val="0"/>
          <w:color w:val="000000"/>
          <w:sz w:val="32"/>
        </w:rPr>
        <w:t>2025年上半年，刘官庄镇新增省级“专精特新”企业3家、省级创新型中小企业6家，规上塑料企业实现产值8.4亿元，同比增长19.4%；全镇提出全年规上工业产值30亿元、培育“四上”企业27家的目标。在要素保障方面，当地探索“互联网+产业+金融”模式，累计帮助企业融资3.3亿元，缓解小微企业融资难题；同时为企业争取中央挥发性有机物（VOCs）专项治理资金用于环保设备更新。集群整体呈现“上游可降解新材料原料—中游改性造粒与功能母料—下游膜袋制品及包装”的完整链条形态，本报告所分析企业分别处于该链条的原料端、改性端与制品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旭科新材料（山东）有限责任公司（以下简称“旭科新材料”或“公司”）成立于2021年6月15日，注册地为山东省日照市莒县刘官庄镇通达路19号，坐落于莒县刘官庄塑料产业园区范围内，毗邻日照海右化工园区，区位上同时具备“化工原料就近供给”和“塑料制品就近消纳”的双重便利。</w:t>
      </w:r>
    </w:p>
    <w:p>
      <w:pPr>
        <w:spacing w:lineRule="exact" w:line="600" w:before="0" w:after="0"/>
        <w:ind w:firstLine="420"/>
        <w:jc w:val="both"/>
      </w:pPr>
      <w:r>
        <w:rPr>
          <w:rFonts w:ascii="仿宋_GB2312" w:hAnsi="仿宋_GB2312" w:eastAsia="仿宋_GB2312"/>
          <w:b w:val="0"/>
          <w:color w:val="000000"/>
          <w:sz w:val="32"/>
        </w:rPr>
        <w:t>公司性质为中外合资经营企业，登记类别属外商投资企业。根据公司官网“关于我们”栏目披露，旭科新材料由香港泛亚能源（Pan Asia Energy Limited）与聚碳氧联新材料科技（无锡）有限公司共同出资设立，其中Pan Asia Energy Limited为控股股东，公司实际控制权归属于该香港投资主体。据日照市人民政府门户网站2023年8月报道，该项目累计利用外资5000余万美元，是莒县利用外资、打造对外开放新高地的代表性项目。</w:t>
      </w:r>
    </w:p>
    <w:p>
      <w:pPr>
        <w:spacing w:lineRule="exact" w:line="600" w:before="0" w:after="0"/>
        <w:ind w:firstLine="420"/>
        <w:jc w:val="both"/>
      </w:pPr>
      <w:r>
        <w:rPr>
          <w:rFonts w:ascii="仿宋_GB2312" w:hAnsi="仿宋_GB2312" w:eastAsia="仿宋_GB2312"/>
          <w:b w:val="0"/>
          <w:color w:val="000000"/>
          <w:sz w:val="32"/>
        </w:rPr>
        <w:t>公司注册资本及股东具体持股比例未在公开渠道完整披露，本报告不作推测。人员规模方面，公开招聘信息显示公司单位规模为100—499人，单位性质标注为“外商投资企业”，所属行业为制造业。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按照“科研—生产—销售—技术服务”一体化的思路设置组织体系，设有综合管理部、生产运行（车间）系统、技术研发系统、市场销售系统等职能单元。公开报道中出现的综合管理部部长刘树林为公司对外信息发布的主要负责人之一，反映综合管理部承担对外事务协调、政企对接与信息披露职能。</w:t>
      </w:r>
    </w:p>
    <w:p>
      <w:pPr>
        <w:spacing w:lineRule="exact" w:line="600" w:before="0" w:after="0"/>
        <w:ind w:firstLine="420"/>
        <w:jc w:val="both"/>
      </w:pPr>
      <w:r>
        <w:rPr>
          <w:rFonts w:ascii="仿宋_GB2312" w:hAnsi="仿宋_GB2312" w:eastAsia="仿宋_GB2312"/>
          <w:b w:val="0"/>
          <w:color w:val="000000"/>
          <w:sz w:val="32"/>
        </w:rPr>
        <w:t>生产组织上，公司已建成并运行两套核心装置：一是万吨级石油基顺酐加氢制备丁二酸及丁二酸酐装置，二是年产3万吨PBS/PBAT生产装置，分别对应“中间体”与“聚酯成品”两个车间单元。据公开报道，截至2023年8月，二号车间已完成年产3万吨PBS生产装置的最后调试并具备正式投产条件。</w:t>
      </w:r>
    </w:p>
    <w:p>
      <w:pPr>
        <w:spacing w:lineRule="exact" w:line="600" w:before="0" w:after="0"/>
        <w:ind w:firstLine="420"/>
        <w:jc w:val="both"/>
      </w:pPr>
      <w:r>
        <w:rPr>
          <w:rFonts w:ascii="仿宋_GB2312" w:hAnsi="仿宋_GB2312" w:eastAsia="仿宋_GB2312"/>
          <w:b w:val="0"/>
          <w:color w:val="000000"/>
          <w:sz w:val="32"/>
        </w:rPr>
        <w:t>公司未公开披露下属子公司及重要参股公司名录。从产业协同角度看，公司与园区内下游改性、包装制品企业建立了原料供应关系，例如公开报道显示，同处刘官庄的山东诺盛瑞新材料有限公司可降解改性新材料及高端塑料包装项目已与旭科新材料等上游原料公司达成战略合作，形成“原料采购—技术研发—产品生产销售”的完整链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2021年6月，公司在山东省日照市莒县登记设立，确立以可降解聚酯及相关精细化工产品为主业的发展方向，并按三期规划分步推进产业布局。</w:t>
      </w:r>
    </w:p>
    <w:p>
      <w:pPr>
        <w:spacing w:lineRule="exact" w:line="600" w:before="0" w:after="0"/>
        <w:ind w:firstLine="420"/>
        <w:jc w:val="both"/>
      </w:pPr>
      <w:r>
        <w:rPr>
          <w:rFonts w:ascii="仿宋_GB2312" w:hAnsi="仿宋_GB2312" w:eastAsia="仿宋_GB2312"/>
          <w:b w:val="0"/>
          <w:color w:val="000000"/>
          <w:sz w:val="32"/>
        </w:rPr>
        <w:t>2022年至2023年，一期项目集中建设。一期总投入5亿元，核心内容为全球首套石油基万吨级顺酐加氢制备丁二酸及丁二酸酐装置，以及年产3万吨PBS/PBAT生产装置。2023年8月，日照市人民政府门户网站报道称，一期项目已建成投产，可稳定产出纯度99.5%以上的丁二酸及丁二酸酐产品；同期公司技术人员完成年产3万吨PBS生产装置的最后调试。</w:t>
      </w:r>
    </w:p>
    <w:p>
      <w:pPr>
        <w:spacing w:lineRule="exact" w:line="600" w:before="0" w:after="0"/>
        <w:ind w:firstLine="420"/>
        <w:jc w:val="both"/>
      </w:pPr>
      <w:r>
        <w:rPr>
          <w:rFonts w:ascii="仿宋_GB2312" w:hAnsi="仿宋_GB2312" w:eastAsia="仿宋_GB2312"/>
          <w:b w:val="0"/>
          <w:color w:val="000000"/>
          <w:sz w:val="32"/>
        </w:rPr>
        <w:t>2024年，公司两套装置进入稳定运行阶段。据莒县人民政府门户网站2024年5月报道，公司当年至报道时点已新增产值5000万元、实现收入2000多万元。同期公司通过与江南大学开展产学研合作，深入探索可降解聚酯技术与工艺，已取得6项核心发明专利。</w:t>
      </w:r>
    </w:p>
    <w:p>
      <w:pPr>
        <w:spacing w:lineRule="exact" w:line="600" w:before="0" w:after="0"/>
        <w:ind w:firstLine="420"/>
        <w:jc w:val="both"/>
      </w:pPr>
      <w:r>
        <w:rPr>
          <w:rFonts w:ascii="仿宋_GB2312" w:hAnsi="仿宋_GB2312" w:eastAsia="仿宋_GB2312"/>
          <w:b w:val="0"/>
          <w:color w:val="000000"/>
          <w:sz w:val="32"/>
        </w:rPr>
        <w:t>按照公司官网披露的规划，二期将以正丁烷为基础原料，通过氧化制顺酐、顺酐加氢制丁二酸和丁二醇的技术路线，为PBAT和PBS生产提供来源稳定、成本低廉的原材料；三期拟在一、二期基础上进一步扩大产能，并适时启动碳减排回收及配套精细化工规划，推动可降解塑料与高碳醇、高等级聚烯烃等高端精细化工产品协同发展。三期规划累计总投资将超200亿元，建设周期五到八年，全部完成后规划年产值超300亿元、年上缴利税超50亿元。上述为公司规划口径，尚未实现，本报告不将其作为既成业绩使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可降解新材料产业链一体化运营商”，聚焦高性能新材料的科研、生产、销售与技术服务，目标是链接莒县绿色化工新材料产业的“油头”与“塑尾”，引领刘官庄塑料产业园区成为国内乃至全球可降解塑料产业的领军基地。</w:t>
      </w:r>
    </w:p>
    <w:p>
      <w:pPr>
        <w:spacing w:lineRule="exact" w:line="600" w:before="0" w:after="0"/>
        <w:ind w:firstLine="420"/>
        <w:jc w:val="both"/>
      </w:pPr>
      <w:r>
        <w:rPr>
          <w:rFonts w:ascii="仿宋_GB2312" w:hAnsi="仿宋_GB2312" w:eastAsia="仿宋_GB2312"/>
          <w:b w:val="0"/>
          <w:color w:val="000000"/>
          <w:sz w:val="32"/>
        </w:rPr>
        <w:t>主营业务包括两大类：一是可降解聚酯产品，核心为聚丁二酸丁二醇酯（PBS）及聚己二酸/对苯二甲酸丁二醇酯（PBAT）；二是相关精细化工中间体，主要为丁二酸及丁二酸酐。PBS具有良好的生物降解性能，力学性能优异、耐热性能好，是全球可降解塑料的重点发展方向。</w:t>
      </w:r>
    </w:p>
    <w:p>
      <w:pPr>
        <w:spacing w:lineRule="exact" w:line="600" w:before="0" w:after="0"/>
        <w:ind w:firstLine="420"/>
        <w:jc w:val="both"/>
      </w:pPr>
      <w:r>
        <w:rPr>
          <w:rFonts w:ascii="仿宋_GB2312" w:hAnsi="仿宋_GB2312" w:eastAsia="仿宋_GB2312"/>
          <w:b w:val="0"/>
          <w:color w:val="000000"/>
          <w:sz w:val="32"/>
        </w:rPr>
        <w:t>产品应用领域覆盖可降解包装材料、餐饮用具、卫生用品以及可降解地膜等一次性可降解产品，并可延伸至医用材料、光电子化学、精细化工等高技术领域。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现阶段收入主要来源于一期两套装置的产出，即丁二酸/丁二酸酐中间体销售与PBS/PBAT聚酯产品销售。公司未公开披露分产品收入占比。可确认的公开数据为：2024年1至5月期间，公司新增产值5000万元、实现收入2000多万元，反映装置处于产能爬坡与市场导入并行阶段，产值与收入之间存在明显的存货与在产品沉淀，符合新建化工装置投产初期的一般特征。</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丁二酸及丁二酸酐。公司采用石油基顺酐加氢工艺，建成全球首套万吨级石油基顺酐加氢制丁二酸装置，设计规模为1万吨丁二酸酐/丁二酸，产品纯度稳定在99.5%以上。丁二酸是PBS的关键单体，亦广泛用于医药中间体、食品添加剂、涂料树脂等领域。</w:t>
      </w:r>
    </w:p>
    <w:p>
      <w:pPr>
        <w:spacing w:lineRule="exact" w:line="600" w:before="0" w:after="0"/>
        <w:ind w:firstLine="420"/>
        <w:jc w:val="both"/>
      </w:pPr>
      <w:r>
        <w:rPr>
          <w:rFonts w:ascii="仿宋_GB2312" w:hAnsi="仿宋_GB2312" w:eastAsia="仿宋_GB2312"/>
          <w:b w:val="0"/>
          <w:color w:val="000000"/>
          <w:sz w:val="32"/>
        </w:rPr>
        <w:t>第二类为PBS/PBAT可降解聚酯，设计规模3万吨/年。公司称产品各项指标均处于行业领先水平，是国内少数几个掌握PBS生产技术的厂家之一。</w:t>
      </w:r>
    </w:p>
    <w:p>
      <w:pPr>
        <w:spacing w:lineRule="exact" w:line="600" w:before="0" w:after="0"/>
        <w:ind w:firstLine="420"/>
        <w:jc w:val="both"/>
      </w:pPr>
      <w:r>
        <w:rPr>
          <w:rFonts w:ascii="仿宋_GB2312" w:hAnsi="仿宋_GB2312" w:eastAsia="仿宋_GB2312"/>
          <w:b w:val="0"/>
          <w:color w:val="000000"/>
          <w:sz w:val="32"/>
        </w:rPr>
        <w:t>第三类为围绕可降解材料的应用技术服务，包括为下游改性、吹膜、注塑客户提供配方与加工工艺支持，属于配套性服务，未单独计价披露。</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结构呈现“园区内下游企业为基本盘、全国可降解制品企业为拓展面”的特征。园区内，刘官庄镇及莒县聚集1100余家塑料加工企业，其中相当一批正在向可降解、功能化方向转型，构成公司天然的近距离客户群，运输半径短、账期沟通便利。公开报道显示，山东诺盛瑞新材料有限公司等改性与包装项目已与公司达成战略合作。</w:t>
      </w:r>
    </w:p>
    <w:p>
      <w:pPr>
        <w:spacing w:lineRule="exact" w:line="600" w:before="0" w:after="0"/>
        <w:ind w:firstLine="420"/>
        <w:jc w:val="both"/>
      </w:pPr>
      <w:r>
        <w:rPr>
          <w:rFonts w:ascii="仿宋_GB2312" w:hAnsi="仿宋_GB2312" w:eastAsia="仿宋_GB2312"/>
          <w:b w:val="0"/>
          <w:color w:val="000000"/>
          <w:sz w:val="32"/>
        </w:rPr>
        <w:t>园区外，公司产品面向可降解包装、餐饮具、卫生用品、农用地膜等领域的制品企业，并可向医用材料、光电子化学等高附加值领域延伸。公司未公开披露前五大客户名称及集中度，本报告不作估计。从行业规律看，可降解聚酯下游客户高度分散但单客户用量有限，通常需要较长的认证与试用周期。</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一期原料路线为石油基顺酐加氢，主要外购原料为顺酐、氢气及1,4-丁二醇等，对上游石化产品价格波动较为敏感。公司选址日照海右化工园区周边，正是基于该园区以原油炼化加工为源头的原料配套能力，可有效缩短原料运输半径、降低仓储与物流成本。</w:t>
      </w:r>
    </w:p>
    <w:p>
      <w:pPr>
        <w:spacing w:lineRule="exact" w:line="600" w:before="0" w:after="0"/>
        <w:ind w:firstLine="420"/>
        <w:jc w:val="both"/>
      </w:pPr>
      <w:r>
        <w:rPr>
          <w:rFonts w:ascii="仿宋_GB2312" w:hAnsi="仿宋_GB2312" w:eastAsia="仿宋_GB2312"/>
          <w:b w:val="0"/>
          <w:color w:val="000000"/>
          <w:sz w:val="32"/>
        </w:rPr>
        <w:t>为进一步压降原料成本、增强供应稳定性，公司二期规划以正丁烷为起点自建“正丁烷—顺酐—丁二酸/丁二醇”一体化路线，实现关键中间体自给。这一纵向一体化安排是公司应对原料价格波动风险的核心措施。公司未公开披露主要供应商名称及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一期已形成1万吨/年丁二酸酐及丁二酸、3万吨/年PBS/PBAT的生产能力，两套装置运行稳定。技术资源方面，公司与江南大学建立产学研合作，已取得6项核心发明专利，在可降解聚酯的合成工艺与产品改性上形成自主技术积累。</w:t>
      </w:r>
    </w:p>
    <w:p>
      <w:pPr>
        <w:spacing w:lineRule="exact" w:line="600" w:before="0" w:after="0"/>
        <w:ind w:firstLine="420"/>
        <w:jc w:val="both"/>
      </w:pPr>
      <w:r>
        <w:rPr>
          <w:rFonts w:ascii="仿宋_GB2312" w:hAnsi="仿宋_GB2312" w:eastAsia="仿宋_GB2312"/>
          <w:b w:val="0"/>
          <w:color w:val="000000"/>
          <w:sz w:val="32"/>
        </w:rPr>
        <w:t>牌照与合规方面，公司属化工生产企业，需依法取得安全生产许可、排污许可等资质，并在省级化工园区内规范运营。公司具体证照编号未在公开渠道披露。作为外商投资企业，公司还需履行外商投资信息报告等法定义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直销为主、技术服务带动”的销售模式，设置销售与市场开发岗位，负责行业市场信息收集、竞争对手分析、客情关系维护和技术服务。公开招聘信息显示，公司销售岗位职责中明确包含“严格执行公司各类风险防范措施”，反映其在赊销与信用管理上设有内部约束。</w:t>
      </w:r>
    </w:p>
    <w:p>
      <w:pPr>
        <w:spacing w:lineRule="exact" w:line="600" w:before="0" w:after="0"/>
        <w:ind w:firstLine="420"/>
        <w:jc w:val="both"/>
      </w:pPr>
      <w:r>
        <w:rPr>
          <w:rFonts w:ascii="仿宋_GB2312" w:hAnsi="仿宋_GB2312" w:eastAsia="仿宋_GB2312"/>
          <w:b w:val="0"/>
          <w:color w:val="000000"/>
          <w:sz w:val="32"/>
        </w:rPr>
        <w:t>渠道布局上，公司立足莒县塑料产业集群，先做深园区内配套，再逐步向全国可降解制品市场与出口市场延伸。依托香港泛亚能源的境外股东背景，公司在海外市场信息获取与客户资源对接方面具备一定便利条件。</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经营数据方面，可公开引用的口径为2024年1至5月新增产值5000万元、收入2000多万元。除此之外，公司未披露完整年度营业收入、利润等经营指标。</w:t>
      </w:r>
    </w:p>
    <w:p>
      <w:pPr>
        <w:spacing w:lineRule="exact" w:line="600" w:before="0" w:after="0"/>
        <w:ind w:firstLine="420"/>
        <w:jc w:val="both"/>
      </w:pPr>
      <w:r>
        <w:rPr>
          <w:rFonts w:ascii="仿宋_GB2312" w:hAnsi="仿宋_GB2312" w:eastAsia="仿宋_GB2312"/>
          <w:b w:val="0"/>
          <w:color w:val="000000"/>
          <w:sz w:val="32"/>
        </w:rPr>
        <w:t>市场地位方面，公司建成的石油基万吨级顺酐加氢制丁二酸装置为全球首套，属于“首台套”性质的工艺突破；在PBS领域，公司被莒县官方媒体表述为“国内少数几个掌握PBS生产技术的厂家”，在细分赛道具有稀缺性。但需客观指出，PBS当前国内总需求规模仍显著小于PBAT与PLA，公司的技术领先能否转化为市场份额与盈利，仍取决于下游禁塑政策落地节奏与成本竞争力。</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外商投资企业，未在巨潮资讯网、证券交易所等公开信息平台披露定期报告，资产负债表、利润表、现金流量表三张报表均未公开。经检索公司官网、政府门户网站及公开媒体报道，未能获取公司连续年度的营业收入、净利润、毛利率、资产负债率、经营活动现金流量净额等关键财务指标。据此，本报告如实标注：财务数据未公开披露，不进行任何形式的推算或估计。</w:t>
      </w:r>
    </w:p>
    <w:p>
      <w:pPr>
        <w:spacing w:lineRule="exact" w:line="600" w:before="0" w:after="0"/>
        <w:ind w:firstLine="420"/>
        <w:jc w:val="both"/>
      </w:pPr>
      <w:r>
        <w:rPr>
          <w:rFonts w:ascii="仿宋_GB2312" w:hAnsi="仿宋_GB2312" w:eastAsia="仿宋_GB2312"/>
          <w:b w:val="0"/>
          <w:color w:val="000000"/>
          <w:sz w:val="32"/>
        </w:rPr>
        <w:t>可引用的零星经营口径数据仅有两项：一是一期项目总投入5亿元；二是2024年1至5月新增产值5000万元、实现收入2000多万元。此外，公司累计利用外资5000余万美元，可作为其权益性资金投入规模的侧面参考。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情况下，本报告仅作定性判断。公司一期装置于2023年建成投产，2024年处于产能爬坡期，固定资产折旧、财务费用与开办费用集中体现，而销量尚未达到设计规模，单位成本偏高。同时，2023年以来国内可降解塑料行业整体供给增加、价格承压，PBAT等产品价格由高位回落。综合判断，公司现阶段盈利水平大概率承压，实现规模化盈利有赖于装置负荷提升与二期原料一体化落地。上述为基于行业规律的定性分析，非公司实际经营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结构以固定资产为主，一期5亿元投入主要形成生产装置、公用工程与厂房，资产重、专用性强、变现能力弱是化工制造企业的共性特征。存货主要为原料顺酐、在产品及PBS/PBAT成品，受原料与产品价格波动影响，存在跌价风险。应收账款规模取决于下游客户结构与账期政策，公司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有息负债规模及期限结构均未公开披露。可确认的是，公司累计利用外资5000余万美元，说明权益性资金是其主要资金来源之一，对外部债务融资的依赖程度可能低于同规模内资化工企业。但考虑到二、三期规划投资体量巨大（规划累计超200亿元），若按规划推进，公司未来对项目融资、并购贷款、融资租赁等中长期资金的需求将显著上升。</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公司处于重资产投入期与产能爬坡期叠加阶段，投资活动现金流应为大额净流出，经营活动现金流受产销率与账期影响，筹资活动现金流依赖股东注资与银行融资。这一阶段的现金流特征决定了公司对流动性支持工具（供应链金融、保理、设备融资租赁）具有较强的现实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同行业可比公司中，金发科技、金丹科技、彤程新材、瑞丰高材等上市公司均布局可降解材料，其公开年报显示，2023年以来可降解材料板块普遍面临产能过剩与价格下行压力，毛利率同比收窄。旭科新材料虽在丁二酸工艺路线上具备独特性，但受限于单一品种、单一基地和较小的产销规模，抗周期能力弱于上述综合性上市公司。由于公司自身数据缺失，本报告不进行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公司为中外合资有限责任公司，按《公司法》及公司章程设立股东会（或董事会）作为最高决策机构。控股股东Pan Asia Energy Limited对重大事项具有主导权，中方股东聚碳氧联新材料科技（无锡）有限公司在技术与国内产业资源上形成互补。公司董事、监事及高级管理人员的具体名单未公开披露。</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中可确认的管理人员为综合管理部部长刘树林，其在多篇官方报道中代表公司发言，介绍产品技术特点与产业带动作用。其他高管信息未公开。从对外发言内容看，管理层对可降解材料的技术路线、产业定位与政策方向理解清晰，具备较强的产业视野。</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省级化工园区内的化工生产企业，须建立健全安全生产责任制、危险化学品管理、环境保护和应急预案等制度体系。公开招聘信息中对销售岗位明确提出“严格执行公司各类风险防范措施”“防范经营风险”的要求，表明公司在销售端设有信用与合规控制环节。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人员规模为100—499人区间。公开招聘信息显示，2025年2月公司发布销售助理岗位，招聘5人，月薪区间8000—8499元，学历要求大专，工作经验不限，反映公司处于市场团队扩张期，且薪酬水平在县域制造业中具有一定竞争力。技术人才方面，公司通过与江南大学产学研合作弥补高端研发人才不足，是县域化工企业较为务实的选择。</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技术与工艺壁垒。公司建成全球首套石油基万吨级顺酐加氢制丁二酸装置，掌握PBS聚合关键技术，取得6项核心发明专利，属于国内少数掌握PBS生产技术的企业。化工工艺的Know-how与装置调试经验难以短期复制，构成较强的技术护城河。</w:t>
      </w:r>
    </w:p>
    <w:p>
      <w:pPr>
        <w:spacing w:lineRule="exact" w:line="600" w:before="0" w:after="0"/>
        <w:ind w:firstLine="420"/>
        <w:jc w:val="both"/>
      </w:pPr>
      <w:r>
        <w:rPr>
          <w:rFonts w:ascii="仿宋_GB2312" w:hAnsi="仿宋_GB2312" w:eastAsia="仿宋_GB2312"/>
          <w:b w:val="0"/>
          <w:color w:val="000000"/>
          <w:sz w:val="32"/>
        </w:rPr>
        <w:t>第二，产业链纵向一体化潜力。公司规划的“正丁烷—顺酐—丁二酸/丁二醇—PBS/PBAT”全链条路线，一旦落地将显著降低单体成本，形成成本壁垒。这是可降解材料行业竞争的关键所在。</w:t>
      </w:r>
    </w:p>
    <w:p>
      <w:pPr>
        <w:spacing w:lineRule="exact" w:line="600" w:before="0" w:after="0"/>
        <w:ind w:firstLine="420"/>
        <w:jc w:val="both"/>
      </w:pPr>
      <w:r>
        <w:rPr>
          <w:rFonts w:ascii="仿宋_GB2312" w:hAnsi="仿宋_GB2312" w:eastAsia="仿宋_GB2312"/>
          <w:b w:val="0"/>
          <w:color w:val="000000"/>
          <w:sz w:val="32"/>
        </w:rPr>
        <w:t>第三，区位与集群协同优势。公司身处全国最大的膜袋类塑料生产基地，下游1100余家塑料加工企业构成天然市场；同时紧邻省级化工园区，原料与公用工程配套完善，物流半径短，具备其他新进入者难以复制的区位条件。</w:t>
      </w:r>
    </w:p>
    <w:p>
      <w:pPr>
        <w:spacing w:lineRule="exact" w:line="600" w:before="0" w:after="0"/>
        <w:ind w:firstLine="420"/>
        <w:jc w:val="both"/>
      </w:pPr>
      <w:r>
        <w:rPr>
          <w:rFonts w:ascii="仿宋_GB2312" w:hAnsi="仿宋_GB2312" w:eastAsia="仿宋_GB2312"/>
          <w:b w:val="0"/>
          <w:color w:val="000000"/>
          <w:sz w:val="32"/>
        </w:rPr>
        <w:t>第四，外资股东与资本实力。累计利用外资5000余万美元，股东方为香港泛亚能源，在境外融资渠道、国际市场信息与设备引进方面具备便利，资金实力相对雄厚。</w:t>
      </w:r>
    </w:p>
    <w:p>
      <w:pPr>
        <w:spacing w:lineRule="exact" w:line="600" w:before="0" w:after="0"/>
        <w:ind w:firstLine="420"/>
        <w:jc w:val="both"/>
      </w:pPr>
      <w:r>
        <w:rPr>
          <w:rFonts w:ascii="仿宋_GB2312" w:hAnsi="仿宋_GB2312" w:eastAsia="仿宋_GB2312"/>
          <w:b w:val="0"/>
          <w:color w:val="000000"/>
          <w:sz w:val="32"/>
        </w:rPr>
        <w:t>第五，政策与政企关系优势。项目获得地方政府在政策、物力、人力方面的大力支持，被列为莒县利用外资与产业转型的标志性项目，在要素保障、审批效率、专项资金争取上具有优先度。</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可降解塑料行业近年产能扩张迅速，PBAT、PLA等主流品种已出现阶段性产能过剩，产品价格从高位明显回落，行业毛利率普遍收窄。同时，“禁塑令”在各地的执行力度与落地节奏存在差异，终端替代需求释放不及预期，导致行业实际需求增长慢于产能增长。公司主打的PBS品种市场规模小于PBAT，市场培育难度更大。</w:t>
      </w:r>
    </w:p>
    <w:p>
      <w:pPr>
        <w:spacing w:lineRule="exact" w:line="600" w:before="0" w:after="0"/>
        <w:ind w:firstLine="420"/>
        <w:jc w:val="both"/>
      </w:pPr>
      <w:r>
        <w:rPr>
          <w:rFonts w:ascii="仿宋_GB2312" w:hAnsi="仿宋_GB2312" w:eastAsia="仿宋_GB2312"/>
          <w:b w:val="0"/>
          <w:color w:val="000000"/>
          <w:sz w:val="32"/>
        </w:rPr>
        <w:t>应对措施：公司通过技术差异化（石油基顺酐加氢路线、高纯度丁二酸）与产业链一体化降本，并依托本地塑料集群优先培育近距离客户，缩短市场导入周期。</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价格波动风险。顺酐、氢气、1,4-丁二醇价格随原油与石化景气度波动，公司一期外购原料比例高，成本传导能力有限。二是产能利用率风险。新建装置爬坡期长，若销量不足则固定成本摊薄困难。三是客户集中与账期风险。下游塑料加工企业以中小民营企业为主，抗风险能力弱，存在回款延迟可能。</w:t>
      </w:r>
    </w:p>
    <w:p>
      <w:pPr>
        <w:spacing w:lineRule="exact" w:line="600" w:before="0" w:after="0"/>
        <w:ind w:firstLine="420"/>
        <w:jc w:val="both"/>
      </w:pPr>
      <w:r>
        <w:rPr>
          <w:rFonts w:ascii="仿宋_GB2312" w:hAnsi="仿宋_GB2312" w:eastAsia="仿宋_GB2312"/>
          <w:b w:val="0"/>
          <w:color w:val="000000"/>
          <w:sz w:val="32"/>
        </w:rPr>
        <w:t>应对措施：公司推进二期正丁烷路线以实现关键原料自给；加强销售团队建设与技术服务能力，提升装置负荷；在销售岗位职责中明确风险防范要求，强化信用管理。</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处于重资产投入期，规划投资规模巨大（三期累计超200亿元），若后续融资不畅或项目收益不及预期，可能形成较大的资金压力与债务负担。同时，作为外商投资企业，公司存在人民币与外币之间的汇率折算风险。因财务数据未公开，上述风险的量化程度无法评估。</w:t>
      </w:r>
    </w:p>
    <w:p>
      <w:pPr>
        <w:spacing w:lineRule="exact" w:line="600" w:before="120" w:after="120"/>
        <w:ind w:firstLine="420"/>
        <w:jc w:val="left"/>
      </w:pPr>
      <w:r>
        <w:rPr>
          <w:rFonts w:ascii="楷体_GB2312" w:hAnsi="楷体_GB2312" w:eastAsia="楷体_GB2312"/>
          <w:b w:val="0"/>
          <w:color w:val="000000"/>
          <w:sz w:val="32"/>
        </w:rPr>
        <w:t>（四）安全环保与合规风险</w:t>
      </w:r>
    </w:p>
    <w:p>
      <w:pPr>
        <w:spacing w:lineRule="exact" w:line="600" w:before="0" w:after="0"/>
        <w:ind w:firstLine="420"/>
        <w:jc w:val="both"/>
      </w:pPr>
      <w:r>
        <w:rPr>
          <w:rFonts w:ascii="仿宋_GB2312" w:hAnsi="仿宋_GB2312" w:eastAsia="仿宋_GB2312"/>
          <w:b w:val="0"/>
          <w:color w:val="000000"/>
          <w:sz w:val="32"/>
        </w:rPr>
        <w:t>公司属化工生产企业，涉及顺酐、氢气等危险化学品，加氢反应属高压临氢工艺，安全风险等级较高。同时，聚酯生产环节产生VOCs等污染物，须执行《合成树脂工业污染物排放标准》（GB31572-2015）等严格排放限值。一旦发生安全生产事故或环保超标，将面临停产整顿、行政处罚等后果。</w:t>
      </w:r>
    </w:p>
    <w:p>
      <w:pPr>
        <w:spacing w:lineRule="exact" w:line="600" w:before="0" w:after="0"/>
        <w:ind w:firstLine="420"/>
        <w:jc w:val="both"/>
      </w:pPr>
      <w:r>
        <w:rPr>
          <w:rFonts w:ascii="仿宋_GB2312" w:hAnsi="仿宋_GB2312" w:eastAsia="仿宋_GB2312"/>
          <w:b w:val="0"/>
          <w:color w:val="000000"/>
          <w:sz w:val="32"/>
        </w:rPr>
        <w:t>应对措施：项目落户省级化工园区，纳入园区统一安全环保管理体系；按环评批复要求配套建设废气、废水治理设施。</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公司地处县域，高端化工研发与运营管理人才引进难度较大，对外部产学研合作依赖度较高。中外合资的股权结构下，中外方在经营理念、决策效率上的协调成本亦需关注。</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下游为塑料加工制品企业，销售普遍存在30—90天账期，随着装置负荷提升，应收账款规模将同步增长。建议以公司对下游优质制品企业的应收账款为基础，开展有追索权保理，单笔额度可与订单和发票挂钩，缓解公司在产能爬坡期的营运资金占用压力。风控要点在于核查买方资质、发票真实性与历史回款记录。</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作为集群内的原料端核心企业，具备成为“链主”的条件。建议在采购端为其提供原料采购预付款融资，锁定顺酐等大宗原料的低价采购窗口；在销售端围绕其下游客户开展订单融资与保兑仓业务，将公司信用向园区中小塑料加工企业延伸，形成“一点接入、全链服务”的批量获客模式。当地已有“互联网+产业+金融”实践基础，累计帮助企业融资3.3亿元，政策环境友好。</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二、三期规划涉及顺酐氧化装置、加氢装置、聚合釜、挤出造粒线等大额设备投资。建议采用直租方式介入新增设备采购，租期5—8年匹配项目建设与达产周期；对一期已建成的通用性较强设备（如挤出造粒线、公用工程设备）可开展售后回租，盘活存量资产、补充流动资金。需注意化工专用装置处置价值较低，应提高保证金比例并追加股东担保。</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对公司本体而言，小贷额度难以匹配其资金需求，适用性有限。但可将小贷产品定位于服务公司上下游的小微配套企业，如园区内的物流承运商、包装辅材供应商、小型改性加工厂等，以公司交易数据为增信依据，发放单户100万元以内的短期流动资金贷款，既服务集群生态，又分散单一客户风险。</w:t>
      </w:r>
    </w:p>
    <w:p>
      <w:pPr>
        <w:spacing w:lineRule="exact" w:line="600" w:before="120" w:after="120"/>
        <w:ind w:firstLine="420"/>
        <w:jc w:val="left"/>
      </w:pPr>
      <w:r>
        <w:rPr>
          <w:rFonts w:ascii="楷体_GB2312" w:hAnsi="楷体_GB2312" w:eastAsia="楷体_GB2312"/>
          <w:b w:val="0"/>
          <w:color w:val="000000"/>
          <w:sz w:val="32"/>
        </w:rPr>
        <w:t>（五）综合服务方案建议</w:t>
      </w:r>
    </w:p>
    <w:p>
      <w:pPr>
        <w:spacing w:lineRule="exact" w:line="600" w:before="0" w:after="0"/>
        <w:ind w:firstLine="420"/>
        <w:jc w:val="both"/>
      </w:pPr>
      <w:r>
        <w:rPr>
          <w:rFonts w:ascii="仿宋_GB2312" w:hAnsi="仿宋_GB2312" w:eastAsia="仿宋_GB2312"/>
          <w:b w:val="0"/>
          <w:color w:val="000000"/>
          <w:sz w:val="32"/>
        </w:rPr>
        <w:t>建议将旭科新材料作为莒县生态塑料集群的重点战略客户建档，采取“先流动性、后中长期”的介入节奏：首期以保理与供应链金融切入，在业务合作中积累对其真实经营与回款情况的判断；待二期项目进入实质建设阶段，再以融资租赁或项目融资方式深度参与。同时，鉴于公司财务数据不公开，合作前应通过尽职调查获取近三年经审计财务报表、纳税记录、银行流水与用电用能数据，作为授信决策的核心依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旭科新材料是莒县生态塑料智造集群中技术含量最高、产业链位置最上游的核心企业。公司凭借全球首套石油基万吨级顺酐加氢制丁二酸装置和PBS生产技术，在国内可降解材料细分赛道占据稀缺技术位置；外资股东背景带来较强的资本实力；区位上紧密嵌入全国最大的膜袋类塑料生产基地，具备将技术优势转化为产业优势的现实条件。总体评价为“技术优势突出、成长潜力大、但处于投入期、财务透明度不足”的成长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二期以正丁烷为起点打通原料一体化，三期扩大产能并延伸至碳减排回收及高端精细化工。若规划顺利实施，公司有望成为国内PBS领域的成本领先者，并带动莒县塑料产业整体由普通膜袋制品向可降解、功能化制品升级。结合行业趋势判断，随着国家“禁塑令”执行力度持续加强、快递包装与农用地膜绿色化政策落地，可降解材料的中长期需求仍有较大空间。</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阶段性过剩带来的价格与盈利压力；二是巨额规划投资与实际融资能力的匹配问题；三是PBS市场培育周期长、下游认证慢；四是安全环保刚性约束下的运营成本上升；五是县域高端人才短缺对技术迭代速度的制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将该企业列为重点跟踪与优先合作对象，但采取审慎渐进的授信策略。具体建议：一是优先开展自偿性强、期限短的保理与供应链金融业务，控制单户敞口；二是把获取经审计财务报表作为提额的前置条件；三是密切跟踪二期项目审批、环评、融资到位与开工进度，将其作为判断公司战略执行力的关键观测点；四是关注可降解材料行业价格走势与国家禁塑政策的执行力度变化，动态调整风险敞口。</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旭科新材料（山东）有限责任公司官网“关于我们”栏目（www.hsuko.com/gywm）。</w:t>
      </w:r>
    </w:p>
    <w:p>
      <w:pPr>
        <w:spacing w:lineRule="exact" w:line="600" w:before="0" w:after="0"/>
        <w:jc w:val="left"/>
      </w:pPr>
      <w:r>
        <w:rPr>
          <w:rFonts w:ascii="仿宋_GB2312" w:hAnsi="仿宋_GB2312" w:eastAsia="仿宋_GB2312"/>
          <w:b w:val="0"/>
          <w:color w:val="000000"/>
          <w:sz w:val="28"/>
        </w:rPr>
        <w:t>2. 莒县人民政府门户网站：《以实干开路 以实绩作答｜莒县：发力新材料 抢跑新赛道》，2024年5月28日。</w:t>
      </w:r>
    </w:p>
    <w:p>
      <w:pPr>
        <w:spacing w:lineRule="exact" w:line="600" w:before="0" w:after="0"/>
        <w:jc w:val="left"/>
      </w:pPr>
      <w:r>
        <w:rPr>
          <w:rFonts w:ascii="仿宋_GB2312" w:hAnsi="仿宋_GB2312" w:eastAsia="仿宋_GB2312"/>
          <w:b w:val="0"/>
          <w:color w:val="000000"/>
          <w:sz w:val="28"/>
        </w:rPr>
        <w:t>3. 日照市人民政府门户网站：《当好外企服务员 扩容外资“朋友圈”》，2023年8月30日。</w:t>
      </w:r>
    </w:p>
    <w:p>
      <w:pPr>
        <w:spacing w:lineRule="exact" w:line="600" w:before="0" w:after="0"/>
        <w:jc w:val="left"/>
      </w:pPr>
      <w:r>
        <w:rPr>
          <w:rFonts w:ascii="仿宋_GB2312" w:hAnsi="仿宋_GB2312" w:eastAsia="仿宋_GB2312"/>
          <w:b w:val="0"/>
          <w:color w:val="000000"/>
          <w:sz w:val="28"/>
        </w:rPr>
        <w:t>4. 消费日报：《“中国塑料产业第一镇”是怎样炼成的？》，2024年8月29日。</w:t>
      </w:r>
    </w:p>
    <w:p>
      <w:pPr>
        <w:spacing w:lineRule="exact" w:line="600" w:before="0" w:after="0"/>
        <w:jc w:val="left"/>
      </w:pPr>
      <w:r>
        <w:rPr>
          <w:rFonts w:ascii="仿宋_GB2312" w:hAnsi="仿宋_GB2312" w:eastAsia="仿宋_GB2312"/>
          <w:b w:val="0"/>
          <w:color w:val="000000"/>
          <w:sz w:val="28"/>
        </w:rPr>
        <w:t>5. 山东高校毕业生就业信息网企业招聘公开信息（旭科新材料销售助理岗位，2025年2月24日发布）。</w:t>
      </w:r>
    </w:p>
    <w:p>
      <w:pPr>
        <w:spacing w:lineRule="exact" w:line="600" w:before="0" w:after="0"/>
        <w:jc w:val="left"/>
      </w:pPr>
      <w:r>
        <w:rPr>
          <w:rFonts w:ascii="仿宋_GB2312" w:hAnsi="仿宋_GB2312" w:eastAsia="仿宋_GB2312"/>
          <w:b w:val="0"/>
          <w:color w:val="000000"/>
          <w:sz w:val="28"/>
        </w:rPr>
        <w:t>6. 集群背景数据引自莒县融媒、腾讯网《干字当头 实绩作答｜莒县刘官庄镇：政企协同 推动塑料产业转型升级》，2025年7月28日。</w:t>
      </w:r>
    </w:p>
    <w:p>
      <w:pPr>
        <w:spacing w:lineRule="exact" w:line="600" w:before="0" w:after="0"/>
        <w:jc w:val="left"/>
      </w:pPr>
      <w:r>
        <w:rPr>
          <w:rFonts w:ascii="仿宋_GB2312" w:hAnsi="仿宋_GB2312" w:eastAsia="仿宋_GB2312"/>
          <w:b w:val="0"/>
          <w:color w:val="000000"/>
          <w:sz w:val="28"/>
        </w:rPr>
        <w:t>7. 本报告未使用任何未经公开披露的财务数据；公司完整财务报表未公开披露，已在正文中如实标注。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