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山东枣庄滕州市(煤基精细化工)特色产业集群</w:t>
      </w:r>
    </w:p>
    <w:p>
      <w:pPr>
        <w:spacing w:lineRule="exact" w:line="600" w:before="240" w:after="240"/>
        <w:ind w:firstLine="0"/>
        <w:jc w:val="center"/>
      </w:pPr>
      <w:r>
        <w:rPr>
          <w:rFonts w:ascii="方正小标宋简体" w:hAnsi="方正小标宋简体" w:eastAsia="方正小标宋简体"/>
          <w:b w:val="0"/>
          <w:color w:val="000000"/>
          <w:sz w:val="44"/>
        </w:rPr>
        <w:t>联泓新材料科技股份有限公司企业分析报告</w:t>
      </w:r>
    </w:p>
    <w:p>
      <w:pPr>
        <w:spacing w:lineRule="exact" w:line="600" w:before="0" w:after="0"/>
        <w:jc w:val="left"/>
      </w:pPr>
      <w:r>
        <w:rPr>
          <w:rFonts w:ascii="仿宋_GB2312" w:hAnsi="仿宋_GB2312" w:eastAsia="仿宋_GB2312"/>
          <w:b w:val="0"/>
          <w:color w:val="000000"/>
          <w:sz w:val="28"/>
        </w:rPr>
        <w:t>（本报告数据来源于联泓新科（003022.SZ）2022—2025年年度报告、巨潮资讯网公告、东方财富/同花顺财务数据、公司官网及权威媒体报道等公开渠道，统计时点截至2025年年报披露信息。）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一、公司基本概况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（一）工商信息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联泓新材料科技股份有限公司（证券简称：联泓新科，证券代码：003022.SZ）成立于2009年，于2020年12月8日在深圳证券交易所主板（原中小板）上市，注册资本对应总股本为1,335,568,000股。公司注册地址位于山东省滕州市木石镇（鲁南高科技化工园区），法定代表人为郑月明（董事长、总裁）。公司专注于先进高分子材料及特种精细材料的研发、生产与销售，为国家级高新技术企业、国家级“绿色工厂”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股权结构方面，公司控股股东为联泓集团有限公司，持股比例约51.77%；联泓集团为联想控股股份有限公司旗下全资子公司，因此联想控股为公司间接控股股东。第二大股东为中国科学院控股有限公司，持股比例约25.27%。公司实际控制人为联想控股（民营控股）。前十大股东中还包括滕州联泓盛、联泓兴、联泓锦等员工持股合伙企业及部分指数基金。公司治理结构清晰，混合所有制特征明显（民营控股+中科院参股的科研院所股东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（二）组织架构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作为集团型新材料企业，设有多个生产基地与子公司。重要子公司包括联泓（山东）化学有限公司（原新能凤凰（滕州）能源有限公司，主营甲醇，为公司全资子公司）、联泓惠生（江苏）新材料有限公司、江西科院生物新材料有限公司等，业务覆盖从基础原料（甲醇）到EVA、PP、EO/EOD等新材料产品的布局。2023年末公司在职员工约2447人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（三）发展沿革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2020年12月登陆A股，是联想控股在新材料领域的重要上市平台。2021年，公司分别收购新奥股份持有的新能凤凰（滕州）能源有限公司40%股权及廊坊华源持有的42.5%股权，合计持有新能凤凰100%股权并将其更名为联泓（山东）化学有限公司，实现向上游甲醇原料的一体化整合，保障核心原料供应与成本控制。近年来，公司持续布局新能源光伏材料（EVA）、特种树脂、生物可降解材料等新增长极，并通过新建与并购扩充产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（四）企业定位与主营业务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定位为新材料产品和解决方案供应商，专注于先进高分子材料及特种精细材料的研发、生产与销售。核心产品包括乙烯-醋酸乙烯共聚物（EVA，主要用于光伏胶膜、鞋材）、聚丙烯（PP）薄壁注塑专用料、环氧乙烷（EO）及环氧乙烷衍生物（EOD，用于日化、农化、建筑等）、特种气体等。公司持续推进产品结构向高毛利率的EVA光伏料、特种表面活性剂等高附加值产品倾斜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二、业务层面分析（核心）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（一）业务结构与收入构成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，公司实现营业总收入67.78亿元，其中乙烯-醋酸乙烯共聚物（EVA）收入20.24亿元（占29.86%）、聚丙烯专用料收入17.02亿元（占25.11%）、贸易收入10.79亿元（占15.92%）、环氧乙烷衍生物8.29亿元、环氧乙烷3.20亿元、副产品及其他8.02亿元。2025年，公司营业总收入63.38亿元，其中化工新材料收入51.13亿元（占80.68%）、副产品及其他12.24亿元（占19.32%）；按产品，特种树脂17.32亿元、新能源光伏材料17.31亿元。区域上以华东为主（2025年华东占比72.66%）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（二）主要产品/服务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EVA产品主要用于光伏胶膜、鞋材，公司全部排产光伏胶膜料等高VA含量高附加值产品，提升高端鞋材市场占有率；PP薄壁注塑专用料市场占有率和影响力国内领先；EOD产品（特种表面活性剂）销量持续增长，农化、乳液、出口领域增长显著（出口同比增72.6%）；特种树脂、新能源光伏材料等构成新材料主体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（三）客户分析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2023年，公司前五大客户合计销售金额18.61亿元，占总销售金额比例27.46%，客户集中度适中。下游客户分布于光伏、塑料、鞋材、日化、纺织、建筑、汽车、农化、金属加工等行业。具体客户名称未公开披露。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（四）供应商与采购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，公司前五大供应商合计采购金额19.16亿元，占年度采购总额44.00%，供应商集中度较高，主要与上游乙烯、甲醇等原料供应相关。公司通过控股联泓（山东）化学（甲醇）实现部分原料自给与管道直供，降低外购依赖与价格波动风险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（五）产能/资源/牌照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位于滕州鲁南高科技化工园区，具备完整的化工新材料生产装置与危化品生产资质。截至2023年末拥有授权专利250项（其中发明专利85项），研发人员与投入充足（2023年研发投入3.09亿元，占营收4.55%）。公司为国家高新技术企业、国家级绿色工厂，并通过多项质量、环境、安全体系认证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（六）销售与渠道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公司采用直销与经销相结合的模式，产品销往全国并逐步拓展出口（EOD出口业务同比增长72.6%）。依托园区一体化与物流优势，原料甲醇由联泓（山东）化学经管道直供，保障供应稳定。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（七）经营数据与市场占有率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EVA、PP薄壁注塑专用料在细分领域居国内领先地位。2023年EVA收入20.24亿元（毛利率40.95%），PP专用料收入17.02亿元（毛利率4.45%）。受行业周期影响，2022—2023年营收与利润有所回落，2024—2025年企稳回升（2025年营收63.38亿元、归母净利3.06亿元）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三、财务报表分析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（一）近三年主要会计数据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2211"/>
        <w:gridCol w:w="2211"/>
        <w:gridCol w:w="2211"/>
        <w:gridCol w:w="2211"/>
      </w:tblGrid>
      <w:tr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指标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2023年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2024年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黑体" w:hAnsi="黑体" w:eastAsia="黑体"/>
                <w:b/>
                <w:color w:val="000000"/>
                <w:sz w:val="32"/>
              </w:rPr>
              <w:t>2025年</w:t>
            </w:r>
          </w:p>
        </w:tc>
      </w:tr>
      <w:tr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营业总收入（亿元）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67.78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62.68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63.38</w:t>
            </w:r>
          </w:p>
        </w:tc>
      </w:tr>
      <w:tr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归母净利润（亿元）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4.46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2.34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3.06</w:t>
            </w:r>
          </w:p>
        </w:tc>
      </w:tr>
      <w:tr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销售毛利率（%）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16.16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资产负债率（%）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54.01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经营活动现金流净额（亿元）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8.75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—</w:t>
            </w:r>
          </w:p>
        </w:tc>
      </w:tr>
      <w:tr>
        <w:tc>
          <w:tcPr>
            <w:tcW w:type="dxa" w:w="3969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每股收益（元）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0.33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0.18</w:t>
            </w:r>
          </w:p>
        </w:tc>
        <w:tc>
          <w:tcPr>
            <w:tcW w:type="dxa" w:w="1871"/>
          </w:tcPr>
          <w:p>
            <w:pPr>
              <w:spacing w:lineRule="exact" w:line="600"/>
              <w:jc w:val="center"/>
            </w:pPr>
            <w:r/>
            <w:r>
              <w:rPr>
                <w:rFonts w:ascii="仿宋_GB2312" w:hAnsi="仿宋_GB2312" w:eastAsia="仿宋_GB2312"/>
                <w:b w:val="0"/>
                <w:color w:val="000000"/>
                <w:sz w:val="32"/>
              </w:rPr>
              <w:t>0.23</w:t>
            </w:r>
          </w:p>
        </w:tc>
      </w:tr>
    </w:tbl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注：2024年、2025年完整毛利率、资产负债率等明细以公司年报为准；上表列示2023年经审计数据与2024、2025年已披露的经营数据。2022年公司营业收入81.57亿元、归母净利润8.66亿元，为近年高位。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（二）盈利分析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公司销售毛利率16.16%，同比降4.06个百分点；净利率6.73%，同比降3.98个百分点；归母净利润4.46亿元，同比下降48.50%，主要受EVA等产品价格回落、行业景气度下行影响。2024年归母净利进一步降至2.34亿元，2025年回升至3.06亿元，呈现企稳修复态势。公司高毛利EVA光伏料占比提升有望改善盈利质量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（三）资产质量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2023年末公司固定资产较上年末减少4.47%，在建工程大幅增加202.35%（主因新项目投建），存货账面价值6.52亿元（占净资产9.15%），资产结构随项目建设动态调整，整体质量良好。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（四）负债与偿债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末资产负债率54.01%，较上年末上升6.47个百分点；有息资产负债率41.62%；流动比率0.70、速动比率0.59，短期偿债能力一般，与化工行业重资产、项目建设期占用资金的特征相符。公司资信良好，融资渠道通畅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（五）现金流分析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经营活动现金流量净额8.75亿元，同比下降33.46%；营业收入现金比119.14%，净现比196.23%，盈利现金含量较高。投资活动现金流净额-31.13亿元（项目建设投入加大），筹资活动现金流净额19.93亿元。自由现金流为-17.05亿元，反映扩产期资本开支较大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（六）关键指标横向对标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与同行业化工新材料企业相比，联泓新科毛利率（16%左右）处于中游，ROE受周期影响波动较大（2023年加权ROE约6.39%）。其差异化在于EVA光伏料细分领先、中科院股东带来的技术背景，以及向上游甲醇一体化的成本协同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四、公司治理、管理与人力资源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（一）治理结构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公司为深交所上市公众公司，设董事会、监事会、经理层，建立独立董事与审计、薪酬等专门委员会，治理规范透明，定期披露年报、半年报与临时公告。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（二）管理层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董事长、总裁郑月明，2023年税前薪酬701.96万元；高级副总裁、财务负责人、董秘蔡文权薪酬306.10万元。核心管理层具有化工与资本运作复合背景。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（三）组织与内控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公司建立较为完善的内控与风险管理体系，通过ISO质量/环境/职业健康安全等体系认证，落实上市公司信息披露与内控规范。</w:t>
      </w:r>
    </w:p>
    <w:p>
      <w:pPr>
        <w:spacing w:lineRule="exact" w:line="600" w:before="120" w:after="120"/>
        <w:ind w:firstLine="420"/>
        <w:jc w:val="left"/>
      </w:pPr>
      <w:r>
        <w:rPr>
          <w:rFonts w:ascii="楷体_GB2312" w:hAnsi="楷体_GB2312" w:eastAsia="楷体_GB2312"/>
          <w:b w:val="0"/>
          <w:color w:val="000000"/>
          <w:sz w:val="32"/>
        </w:rPr>
        <w:t>（四）人力资源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2023年末员工总数2447人，人均创收276.98万元、人均创利18.23万元。公司重视研发，2023年研发投入3.09亿元、占营收4.55%；拥有授权专利250项，研发与工程技术队伍实力较强。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五、核心竞争力（护城河）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技术与股东协同：中科院控股参股带来科研院所资源，拥有EVA、PP专用料等细分领域工艺积累与250项专利；二是细分市场领先：EVA光伏料、PP薄壁注塑专用料国内领先；三是一体化成本优势：控股联泓（山东）化学（甲醇）实现关键原料管道直供与价格平滑；四是绿色与资质壁垒：国家级绿色工厂、高新技术企业资质；五是资本平台：A股上市提供持续融资能力支撑产能扩张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六、风险分析（重点）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一是产品价格周期风险：EVA、PP等价格受光伏、塑料行业供需影响波动大，2022—2024年盈利明显回落；二是供应商集中风险：前五大供应商占比约44%，原料供应与价格依赖度较高；三是项目建设与折旧风险：大规模在建工程转固后折旧与达产不及预期可能影响利润；四是安全生产与环保风险：化工生产存在安全环保监管压力；五是宏观与政策风险：光伏装机波动、双碳政策影响下游需求。应对措施：持续优化高毛利EVA/特种产品结构、向上游一体化降本、拓展出口与高端应用领域、强化安全环保管理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七、融资需求（与山东投资协同）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联泓新科作为A股上市公司，自身融资渠道畅通，山东投资可协同的方向主要是：一是供应链金融，围绕其上游甲醇、乙烯等原料采购及下游经销商，提供应收账款保理与票据服务；二是为联泓体系内及鲁南园区配套中小供应商提供反向保理、融资租赁；三是针对新建项目设备采购开展融资租赁；四是依托山东投资产业资源，在生物可降解材料、新能源材料等新兴方向探讨产融合作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八、综合评价、发展展望与建议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综合评价：联泓新科是滕州煤基精细化工集群的上市龙头，EVA光伏料与PP专用料细分领先，背靠联想控股与中科院股东，具备技术、资本与一体化优势。短板在于盈利受行业周期影响显著、短期偿债指标偏弱。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发展展望：随着光伏装机回暖与新材料国产替代，公司EVA、特种树脂、生物可降解材料等业务有望稳步增长。据公司规划与行业趋势，高端新材料与绿色制造是核心方向。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建议：一是巩固EVA光伏料高附加值产品占比；二是加快新项目达产与效益释放；三是优化资本结构与现金流；四是借助山东投资供应链金融工具服务园区产业链生态。</w:t>
      </w:r>
    </w:p>
    <w:p>
      <w:pPr>
        <w:spacing w:lineRule="exact" w:line="600" w:before="120" w:after="120"/>
        <w:ind w:firstLine="420"/>
        <w:jc w:val="left"/>
      </w:pPr>
      <w:r>
        <w:rPr>
          <w:rFonts w:ascii="黑体" w:hAnsi="黑体" w:eastAsia="黑体"/>
          <w:b w:val="0"/>
          <w:color w:val="000000"/>
          <w:sz w:val="32"/>
        </w:rPr>
        <w:t>数据来源说明</w:t>
      </w:r>
    </w:p>
    <w:p>
      <w:pPr>
        <w:spacing w:lineRule="exact" w:line="600" w:before="0" w:after="0"/>
        <w:ind w:firstLine="420"/>
        <w:jc w:val="both"/>
      </w:pPr>
      <w:r>
        <w:rPr>
          <w:rFonts w:ascii="仿宋_GB2312" w:hAnsi="仿宋_GB2312" w:eastAsia="仿宋_GB2312"/>
          <w:b w:val="0"/>
          <w:color w:val="000000"/>
          <w:sz w:val="32"/>
        </w:rPr>
        <w:t>本报告数据来源于：1）联泓新科（003022.SZ）2022、2023、2024、2025年年度报告及巨潮资讯网公告；2）东方财富、同花顺、网易财经、新浪财经等公开财务数据；3）公司官网及关于收购新能凤凰（联泓（山东）化学）的公开公告；4）权威媒体相关报道。</w:t>
      </w:r>
    </w:p>
    <w:sectPr w:rsidR="00FC693F" w:rsidRPr="0006063C" w:rsidSect="00034616">
      <w:footerReference w:type="default" r:id="rId9"/>
      <w:pgSz w:w="11906" w:h="16838"/>
      <w:pgMar w:top="2098" w:right="1474" w:bottom="1984" w:left="158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lineRule="exact" w:line="600"/>
      <w:ind w:firstLine="0"/>
      <w:jc w:val="center"/>
    </w:pPr>
    <w:r>
      <w:rPr>
        <w:rFonts w:ascii="宋体" w:hAnsi="宋体" w:eastAsia="宋体"/>
        <w:b w:val="0"/>
        <w:color w:val="000000"/>
        <w:sz w:val="28"/>
      </w:rPr>
      <w:t xml:space="preserve">— </w:t>
    </w:r>
    <w:r>
      <w:rPr>
        <w:rFonts w:ascii="Times New Roman" w:hAnsi="Times New Roman" w:eastAsia="Times New Roman"/>
        <w:b w:val="0"/>
        <w:color w:val="000000"/>
        <w:sz w:val="28"/>
      </w:rPr>
      <w:fldChar w:fldCharType="begin"/>
      <w:instrText xml:space="preserve">PAGE</w:instrText>
      <w:fldChar w:fldCharType="end"/>
    </w:r>
    <w:r>
      <w:rPr>
        <w:rFonts w:ascii="宋体" w:hAnsi="宋体" w:eastAsia="宋体"/>
        <w:b w:val="0"/>
        <w:color w:val="000000"/>
        <w:sz w:val="28"/>
      </w:rPr>
      <w:t xml:space="preserve"> —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