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山东泰安宁阳（基础零部件—钢球）特色产业集群</w:t>
      </w:r>
    </w:p>
    <w:p>
      <w:pPr>
        <w:spacing w:lineRule="exact" w:line="600" w:before="240" w:after="240"/>
        <w:ind w:firstLine="0"/>
        <w:jc w:val="center"/>
      </w:pPr>
      <w:r>
        <w:rPr>
          <w:rFonts w:ascii="方正小标宋简体" w:hAnsi="方正小标宋简体" w:eastAsia="方正小标宋简体"/>
          <w:b w:val="0"/>
          <w:color w:val="000000"/>
          <w:sz w:val="44"/>
        </w:rPr>
        <w:t>宁阳县新东工贸有限公司企业分析报告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百度百科、宁阳县/泰安市人民政府门户网站等公开渠道，统计时点截至2026年8月。公司为非上市微型民营企业，财务数据未公开披露，已在文中如实标注；工商参保人数与百度百科披露用工规模存在口径差异，均已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宁阳县新东工贸有限公司（曾用名：宁阳县新东方钢球有限公司）成立于2006年11月6日，法定代表人为肖华，统一社会信用代码为913709217953356711，注册资本100万元人民币，企业类型为有限责任公司（自然人投资或控股），登记机关为宁阳县市场监督管理局，注册地址位于山东省宁阳县泗店镇铁佛寺村，经营状态为存续。英文名称Ningyang County New Dongfang Steel Ball Co., Ltd.。</w:t>
      </w:r>
    </w:p>
    <w:p>
      <w:pPr>
        <w:spacing w:lineRule="exact" w:line="600" w:before="0" w:after="0"/>
        <w:ind w:firstLine="420"/>
        <w:jc w:val="both"/>
      </w:pPr>
      <w:r>
        <w:rPr>
          <w:rFonts w:ascii="仿宋_GB2312" w:hAnsi="仿宋_GB2312" w:eastAsia="仿宋_GB2312"/>
          <w:b w:val="0"/>
          <w:color w:val="000000"/>
          <w:sz w:val="32"/>
        </w:rPr>
        <w:t>股权结构：公司股东为肖华（持股85%）与王宪臣（持股15%），为自然人控股的民营企业，实际控制人为肖华。公司系"宁阳新东工贸"集团成员，对外投资2家企业。</w:t>
      </w:r>
    </w:p>
    <w:p>
      <w:pPr>
        <w:spacing w:lineRule="exact" w:line="600" w:before="0" w:after="0"/>
        <w:ind w:firstLine="420"/>
        <w:jc w:val="both"/>
      </w:pPr>
      <w:r>
        <w:rPr>
          <w:rFonts w:ascii="仿宋_GB2312" w:hAnsi="仿宋_GB2312" w:eastAsia="仿宋_GB2312"/>
          <w:b w:val="0"/>
          <w:color w:val="000000"/>
          <w:sz w:val="32"/>
        </w:rPr>
        <w:t>参保人员方面，2025年工商年报社保人数4人、企业规模微型；百度百科披露公司现有员工8人（较早口径）。口径差异可能源于劳务外包或统计时点，本报告以工商登记为准并提示差异。公司商标3条、专利3条，行政许可7个，2025年税务信用A级、省级创新型中小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主营钢球、轴承、球架、钢球磨削液及促进剂加工销售，并经营矿用电器、五金建材、钢材、电瓶、铁粉、塑料编织袋、化工产品（危险化学品除外）等。公司与中国轴承研究所、山东理工大学建立产学研联合体，引进近500台生产检测设备，形成涵盖精研、淬火、抛光环节的完整生产链。</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2006年（前身为宁阳县新东方钢球有限公司），长期深耕钢球制造，与山东理工大学、中国轴承研究所建立产学研联合体，引进近500台生产检测设备。作为宁阳钢球产业集群龙头企业之一，参与构建省级特色产业集群技术供给体系，并成为当地"专精特新"企业代表（宁阳县"专精特新"挺起中小企业"腰杆"报道，2016年）。</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公司定位为宁阳钢球产业集群骨干与"专精特新"代表企业，主要从事钢球、轴承、球架及钢球磨削液的加工销售，可生产组合钢、不锈钢等十几种原材料的400余种钢球产品，覆盖精研、淬火、抛光完整工序。</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公司收入以钢球（含轴承钢球、不锈钢球等）制造销售为主，兼营轴承、球架、钢球磨削液及五金建材、矿用电器等。分产品收入占比未公开披露。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代表产品：碳钢球、轴承钢球、不锈钢球等多种材质400余种钢球（涵盖精研、淬火、抛光环节）；钢球磨削液及促进剂；轴承、球架。公司拥有钢球皂化干燥机、筛球机、冷镦机放线装置等实用专利。</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下游为轴承制造、五金、机械及矿用设备客户；作为宁阳钢球集群成员，依托集群渠道销售。具体大客户未公开披露。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上游采购轴承钢/线材、合金材料及化工助剂（磨削液原料）；具体供应商未公开披露。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公司引进近500台生产检测设备，形成精研—淬火—抛光完整生产链；为增值税一般纳税人，具钢球及磨削液加工销售资质。具体产能（吨/年）未公开披露。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销售采取"自有生产+集群经销+出口"模式，依托宁阳钢球之乡完善产业链与政策，并通过产学研联合体提升技术背书。</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公司为非上市微型企业，单体营收、利润未公开披露；百度百科称其员工8人、为宁阳钢球产业集群龙头企业之一、省级"专精特新"代表。具体市占率未公开。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宁阳县新东工贸有限公司为非上市微型企业，单体审计报告未公开披露，无公开的最近三年营收、净利润、毛利率、资产负债率、经营现金流数据。公司注册资本100万元，资本规模小。</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单体毛利率、净利率未公开披露。作为微型专精特新企业，盈利体量有限但具差异化技术（400余种钢球、完整工序）。</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注册资本100万元；专利3项、商标3项，资产与技术储备以设备与工艺为主。具体资产结构未公开披露。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单体资产负债率、有息负债未公开披露；2025年税务信用A级反映纳税与信用状况良好。</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经营现金流净额未公开披露。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辰信轴承科技（链主、国资混改、11亿投资）、宁阳县先锋轴承钢球厂（微型个人独资）相比，新东工贸为微型民营专精特新代表，技术（完整工序、400余种钢球）与产学研（山东理工、中国轴承所）具特色，但资本与规模远小于辰信。三家共同构成宁阳钢球"链主+专精特新+微型配套"梯次。</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公司为自然人控股的有限责任公司，肖华任法定代表人/总经理，王宪臣任监事，治理集中。</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法定代表人/总经理肖华（持股85%，实际控制人），监事王宪臣（持股15%）。</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公司通过产学研联合体（山东理工大学、中国轴承研究所）提升技术与质量体系，为省级创新型中小企业、专精特新代表。</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工商年报社保4人（2025），百度百科称员工8人；技术团队含工程技术人员，研发以实用专利为主。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技术与工艺：精研—淬火—抛光完整生产链、400余种钢球、近500台设备、3项专利。</w:t>
      </w:r>
    </w:p>
    <w:p>
      <w:pPr>
        <w:spacing w:lineRule="exact" w:line="600" w:before="0" w:after="0"/>
        <w:ind w:firstLine="420"/>
        <w:jc w:val="both"/>
      </w:pPr>
      <w:r>
        <w:rPr>
          <w:rFonts w:ascii="仿宋_GB2312" w:hAnsi="仿宋_GB2312" w:eastAsia="仿宋_GB2312"/>
          <w:b w:val="0"/>
          <w:color w:val="000000"/>
          <w:sz w:val="32"/>
        </w:rPr>
        <w:t>2. 产学研：与山东理工大学、中国轴承研究所联合体，技术背书强。</w:t>
      </w:r>
    </w:p>
    <w:p>
      <w:pPr>
        <w:spacing w:lineRule="exact" w:line="600" w:before="0" w:after="0"/>
        <w:ind w:firstLine="420"/>
        <w:jc w:val="both"/>
      </w:pPr>
      <w:r>
        <w:rPr>
          <w:rFonts w:ascii="仿宋_GB2312" w:hAnsi="仿宋_GB2312" w:eastAsia="仿宋_GB2312"/>
          <w:b w:val="0"/>
          <w:color w:val="000000"/>
          <w:sz w:val="32"/>
        </w:rPr>
        <w:t>3. 专精特新：省级创新型中小企业、宁阳钢球集群专精特新代表，差异化定位。</w:t>
      </w:r>
    </w:p>
    <w:p>
      <w:pPr>
        <w:spacing w:lineRule="exact" w:line="600" w:before="0" w:after="0"/>
        <w:ind w:firstLine="420"/>
        <w:jc w:val="both"/>
      </w:pPr>
      <w:r>
        <w:rPr>
          <w:rFonts w:ascii="仿宋_GB2312" w:hAnsi="仿宋_GB2312" w:eastAsia="仿宋_GB2312"/>
          <w:b w:val="0"/>
          <w:color w:val="000000"/>
          <w:sz w:val="32"/>
        </w:rPr>
        <w:t>4. 集群协同：身处"中国钢球之乡"，产业链与渠道完善。</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钢球行业强周期、产能过剩与价格竞争；微型企业在原材料与下游议价中弱势。</w:t>
      </w:r>
    </w:p>
    <w:p>
      <w:pPr>
        <w:spacing w:lineRule="exact" w:line="600" w:before="120" w:after="120"/>
        <w:ind w:firstLine="420"/>
        <w:jc w:val="left"/>
      </w:pPr>
      <w:r>
        <w:rPr>
          <w:rFonts w:ascii="楷体_GB2312" w:hAnsi="楷体_GB2312" w:eastAsia="楷体_GB2312"/>
          <w:b w:val="0"/>
          <w:color w:val="000000"/>
          <w:sz w:val="32"/>
        </w:rPr>
        <w:t>（二）财务与合规风险</w:t>
      </w:r>
    </w:p>
    <w:p>
      <w:pPr>
        <w:spacing w:lineRule="exact" w:line="600" w:before="0" w:after="0"/>
        <w:ind w:firstLine="420"/>
        <w:jc w:val="both"/>
      </w:pPr>
      <w:r>
        <w:rPr>
          <w:rFonts w:ascii="仿宋_GB2312" w:hAnsi="仿宋_GB2312" w:eastAsia="仿宋_GB2312"/>
          <w:b w:val="0"/>
          <w:color w:val="000000"/>
          <w:sz w:val="32"/>
        </w:rPr>
        <w:t>据天眼查，公司天眼风险信息40条、涉诉关系9条、开庭公告2条，主要为常见商事纠纷；作为微型企业，财务透明度低，建议关注资金与担保。</w:t>
      </w:r>
    </w:p>
    <w:p>
      <w:pPr>
        <w:spacing w:lineRule="exact" w:line="600" w:before="120" w:after="120"/>
        <w:ind w:firstLine="420"/>
        <w:jc w:val="left"/>
      </w:pPr>
      <w:r>
        <w:rPr>
          <w:rFonts w:ascii="楷体_GB2312" w:hAnsi="楷体_GB2312" w:eastAsia="楷体_GB2312"/>
          <w:b w:val="0"/>
          <w:color w:val="000000"/>
          <w:sz w:val="32"/>
        </w:rPr>
        <w:t>（三）应对措施</w:t>
      </w:r>
    </w:p>
    <w:p>
      <w:pPr>
        <w:spacing w:lineRule="exact" w:line="600" w:before="0" w:after="0"/>
        <w:ind w:firstLine="420"/>
        <w:jc w:val="both"/>
      </w:pPr>
      <w:r>
        <w:rPr>
          <w:rFonts w:ascii="仿宋_GB2312" w:hAnsi="仿宋_GB2312" w:eastAsia="仿宋_GB2312"/>
          <w:b w:val="0"/>
          <w:color w:val="000000"/>
          <w:sz w:val="32"/>
        </w:rPr>
        <w:t>公司以专精特新、产学研差异化；以400余种钢球与完整工序提升柔性供应能力。</w:t>
      </w:r>
    </w:p>
    <w:p>
      <w:pPr>
        <w:spacing w:lineRule="exact" w:line="600" w:before="120" w:after="120"/>
        <w:ind w:firstLine="420"/>
        <w:jc w:val="left"/>
      </w:pPr>
      <w:r>
        <w:rPr>
          <w:rFonts w:ascii="楷体_GB2312" w:hAnsi="楷体_GB2312" w:eastAsia="楷体_GB2312"/>
          <w:b w:val="0"/>
          <w:color w:val="000000"/>
          <w:sz w:val="32"/>
        </w:rPr>
        <w:t>（四）管理风险</w:t>
      </w:r>
    </w:p>
    <w:p>
      <w:pPr>
        <w:spacing w:lineRule="exact" w:line="600" w:before="0" w:after="0"/>
        <w:ind w:firstLine="420"/>
        <w:jc w:val="both"/>
      </w:pPr>
      <w:r>
        <w:rPr>
          <w:rFonts w:ascii="仿宋_GB2312" w:hAnsi="仿宋_GB2312" w:eastAsia="仿宋_GB2312"/>
          <w:b w:val="0"/>
          <w:color w:val="000000"/>
          <w:sz w:val="32"/>
        </w:rPr>
        <w:t>自然人控股、微型规模，治理与用工合规（社保人数差异）需关注。</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1. 供应链金融：上游材料与下游赊销占用资金，可对接保理与订单融资。</w:t>
      </w:r>
    </w:p>
    <w:p>
      <w:pPr>
        <w:spacing w:lineRule="exact" w:line="600" w:before="0" w:after="0"/>
        <w:ind w:firstLine="420"/>
        <w:jc w:val="both"/>
      </w:pPr>
      <w:r>
        <w:rPr>
          <w:rFonts w:ascii="仿宋_GB2312" w:hAnsi="仿宋_GB2312" w:eastAsia="仿宋_GB2312"/>
          <w:b w:val="0"/>
          <w:color w:val="000000"/>
          <w:sz w:val="32"/>
        </w:rPr>
        <w:t>2. 设备升级融资租赁：精研/淬火/抛光设备升级可探索融资租赁。</w:t>
      </w:r>
    </w:p>
    <w:p>
      <w:pPr>
        <w:spacing w:lineRule="exact" w:line="600" w:before="0" w:after="0"/>
        <w:ind w:firstLine="420"/>
        <w:jc w:val="both"/>
      </w:pPr>
      <w:r>
        <w:rPr>
          <w:rFonts w:ascii="仿宋_GB2312" w:hAnsi="仿宋_GB2312" w:eastAsia="仿宋_GB2312"/>
          <w:b w:val="0"/>
          <w:color w:val="000000"/>
          <w:sz w:val="32"/>
        </w:rPr>
        <w:t>3. 小贷：面向钢球产业小微配套商提供供应链小贷。</w:t>
      </w:r>
    </w:p>
    <w:p>
      <w:pPr>
        <w:spacing w:lineRule="exact" w:line="600" w:before="0" w:after="0"/>
        <w:ind w:firstLine="420"/>
        <w:jc w:val="both"/>
      </w:pPr>
      <w:r>
        <w:rPr>
          <w:rFonts w:ascii="仿宋_GB2312" w:hAnsi="仿宋_GB2312" w:eastAsia="仿宋_GB2312"/>
          <w:b w:val="0"/>
          <w:color w:val="000000"/>
          <w:sz w:val="32"/>
        </w:rPr>
        <w:t>4. 投贷联动：作为专精特新微型代表，可探索小额股权+债权协同，但需严控额度。</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宁阳县新东工贸是宁阳钢球产业集群的微型民营专精特新代表，具备完整钢球工序（精研—淬火—抛光）、400余种产品与产学研技术背书，2025年税务信用A级。公司规模微小、财务未公开披露，但产业定位清晰。</w:t>
      </w:r>
    </w:p>
    <w:p>
      <w:pPr>
        <w:spacing w:lineRule="exact" w:line="600" w:before="0" w:after="0"/>
        <w:ind w:firstLine="420"/>
        <w:jc w:val="both"/>
      </w:pPr>
      <w:r>
        <w:rPr>
          <w:rFonts w:ascii="仿宋_GB2312" w:hAnsi="仿宋_GB2312" w:eastAsia="仿宋_GB2312"/>
          <w:b w:val="0"/>
          <w:color w:val="000000"/>
          <w:sz w:val="32"/>
        </w:rPr>
        <w:t>发展展望：受益宁阳钢球之乡集群升级与高端精密钢球需求，专精特新差异化可期。</w:t>
      </w:r>
    </w:p>
    <w:p>
      <w:pPr>
        <w:spacing w:lineRule="exact" w:line="600" w:before="0" w:after="0"/>
        <w:ind w:firstLine="420"/>
        <w:jc w:val="both"/>
      </w:pPr>
      <w:r>
        <w:rPr>
          <w:rFonts w:ascii="仿宋_GB2312" w:hAnsi="仿宋_GB2312" w:eastAsia="仿宋_GB2312"/>
          <w:b w:val="0"/>
          <w:color w:val="000000"/>
          <w:sz w:val="32"/>
        </w:rPr>
        <w:t>挑战：微型规模抗风险弱、行业周期与价格竞争、财务透明度不足。</w:t>
      </w:r>
    </w:p>
    <w:p>
      <w:pPr>
        <w:spacing w:lineRule="exact" w:line="600" w:before="0" w:after="0"/>
        <w:ind w:firstLine="420"/>
        <w:jc w:val="both"/>
      </w:pPr>
      <w:r>
        <w:rPr>
          <w:rFonts w:ascii="仿宋_GB2312" w:hAnsi="仿宋_GB2312" w:eastAsia="仿宋_GB2312"/>
          <w:b w:val="0"/>
          <w:color w:val="000000"/>
          <w:sz w:val="32"/>
        </w:rPr>
        <w:t>结论与建议：建议山东投资以供应链金融与小额设备融资租赁切入与新东工贸协同，并关注用工与财务合规；公司具集群专精特新特色，可作为产业链小贷的普惠服务对象，但须以财务透明为前提。</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1. 国家企业信用信息公示系统及天眼查/企查查：工商登记、股东（肖华85%、王宪臣15%）、参保、专利商标、风险。</w:t>
      </w:r>
    </w:p>
    <w:p>
      <w:pPr>
        <w:spacing w:lineRule="exact" w:line="600" w:before="0" w:after="0"/>
        <w:ind w:firstLine="420"/>
        <w:jc w:val="both"/>
      </w:pPr>
      <w:r>
        <w:rPr>
          <w:rFonts w:ascii="仿宋_GB2312" w:hAnsi="仿宋_GB2312" w:eastAsia="仿宋_GB2312"/>
          <w:b w:val="0"/>
          <w:color w:val="000000"/>
          <w:sz w:val="32"/>
        </w:rPr>
        <w:t>2. 百度百科、宁阳县/泰安市人民政府门户网站：员工、产学研、专精特新、集群龙头。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