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山东泰安宁阳（基础零部件—钢球）特色产业集群</w:t>
      </w:r>
    </w:p>
    <w:p>
      <w:pPr>
        <w:spacing w:lineRule="exact" w:line="600" w:before="240" w:after="240"/>
        <w:ind w:firstLine="0"/>
        <w:jc w:val="center"/>
      </w:pPr>
      <w:r>
        <w:rPr>
          <w:rFonts w:ascii="方正小标宋简体" w:hAnsi="方正小标宋简体" w:eastAsia="方正小标宋简体"/>
          <w:b w:val="0"/>
          <w:color w:val="000000"/>
          <w:sz w:val="44"/>
        </w:rPr>
        <w:t>辰信轴承科技(山东)有限公司企业分析报告</w:t>
      </w:r>
    </w:p>
    <w:p>
      <w:pPr>
        <w:spacing w:lineRule="exact" w:line="600" w:before="0" w:after="0"/>
        <w:jc w:val="left"/>
      </w:pPr>
      <w:r>
        <w:rPr>
          <w:rFonts w:ascii="仿宋_GB2312" w:hAnsi="仿宋_GB2312" w:eastAsia="仿宋_GB2312"/>
          <w:b w:val="0"/>
          <w:color w:val="000000"/>
          <w:sz w:val="28"/>
        </w:rPr>
        <w:t>（本报告数据来源于国家企业信用信息公示系统、天眼查、企查查、水滴信用、宁阳公共招聘网、山东省装备制造业协会及宁阳县政府公开资料等，统计时点截至2026年8月。公司为非上市混合所有制企业（地方国资51%+民营49%），财务数据未公开审计，投资11亿元产业园项目为公开披露，已在文中注明；单体审计财务数据如实标注为未公开披露。）</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辰信轴承科技（山东）有限公司成立于2022年10月24日，法定代表人为徐先懂，统一社会信用代码为91370921MAC2A4209L，注册资本5,000万元人民币（实缴2,450万元），企业类型为其他有限责任公司，登记机关为宁阳县市场监督管理局，注册地址位于山东省泰安市宁阳县堽城镇钢球工业园区辰信路999号，经营状态为存续。英文名称Chenxin Bearing Technology (Shandong) Co., Ltd.。</w:t>
      </w:r>
    </w:p>
    <w:p>
      <w:pPr>
        <w:spacing w:lineRule="exact" w:line="600" w:before="0" w:after="0"/>
        <w:ind w:firstLine="420"/>
        <w:jc w:val="both"/>
      </w:pPr>
      <w:r>
        <w:rPr>
          <w:rFonts w:ascii="仿宋_GB2312" w:hAnsi="仿宋_GB2312" w:eastAsia="仿宋_GB2312"/>
          <w:b w:val="0"/>
          <w:color w:val="000000"/>
          <w:sz w:val="32"/>
        </w:rPr>
        <w:t>股权结构与出资人：公司由山东宁阳高新技术产业发展集团有限公司持股51%（其上层为宁阳县国有资产运营中心100%控股，即地方国资）、山东辰信企业管理有限公司持股49%（其上层为辰信矿业集团有限公司100%控股，民营）。因此公司为地方国资控股的混合所有制企业，实际控制人层级为宁阳县国有资产运营中心（国资方）与辰信矿业集团（民营方）共同控制，国资相对控股。</w:t>
      </w:r>
    </w:p>
    <w:p>
      <w:pPr>
        <w:spacing w:lineRule="exact" w:line="600" w:before="0" w:after="0"/>
        <w:ind w:firstLine="420"/>
        <w:jc w:val="both"/>
      </w:pPr>
      <w:r>
        <w:rPr>
          <w:rFonts w:ascii="仿宋_GB2312" w:hAnsi="仿宋_GB2312" w:eastAsia="仿宋_GB2312"/>
          <w:b w:val="0"/>
          <w:color w:val="000000"/>
          <w:sz w:val="32"/>
        </w:rPr>
        <w:t>参保人员方面，2025年参保122人，人员规模100—499人；公司对外投资2家企业（云联钢球（山东）有限公司持股53%、宁阳滚动体科技发展有限公司持股22%），参与招投标18次，专利22项，行政许可8个。</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主营轴承、齿轮和传动部件制造，轴承制造，钢压延加工，轴承钢材产品生产，并延伸至特种陶瓷制品制造、金属表面处理、物联网设备制造、机械设备研发及货物进出口等。公司依托洛阳轴承研究所技术支撑，发挥宁阳钢球产业基础与集聚优势，作为宁阳"中国钢球之乡"链主企业，投资建设宁阳县基础零部件产业园暨先进绿色智能智造示范工厂。</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成立于2022年10月，系山东兴宁能源集团成员（国资方股东背景）。作为宁阳钢球产业提档升级的龙头载体，公司投资11亿元建设宁阳县基础零部件产业园暨先进绿色智能智造示范工厂建设项目，占地162.96亩、总建筑面积6.9万㎡，建设高标准厂房4栋及办公研发楼，新上材料改制生产线、精密钢球生产线及检验检测设备仪器；并通过设立云联钢球、宁阳滚动体科技等合资企业延伸产业链。</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定位为宁阳钢球（基础零部件）特色产业集群的链主企业、先进绿色智能智造示范工厂建设运营主体。核心业务为精密钢球（碳钢/轴承钢/不锈钢球，φ0.3—φ78mm全规格）及轴承钢材改制，全面达产后可实现30万吨钢球钢丝原材料改制及2万吨精密钢球产能，示范带动宁阳钢球产业提质增效。</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收入以钢球钢丝原材料改制、精密钢球制造及轴承部件为主，兼营特种陶瓷、物联网设备、新能源（光伏/风电/充电）等多元化业务。分产品收入占比未公开披露；产业园全面达产后以钢球钢丝（30万吨）与精密钢球（2万吨）为核心。</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代表产品：①精密钢球（碳钢、轴承钢、不锈钢球，φ0.3—φ78mm全规格）；②轴承钢材产品（材料改制）；③轴承、齿轮和传动部件；④特种陶瓷制品、金属表面处理及热处理加工。公司拥有"滚动轴承钢球光球机""用于钢球加工的精研机"等专利，技术装备向绿色智能升级。</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下游为轴承制造、汽车、风电、精密机械及零部件客户；依托洛阳轴承研究所技术网络与产业园集采，客户覆盖国内轴承产业链。具体大客户未公开披露。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上游采购轴承钢/线材、合金材料及设备；具体供应商未公开披露。公司作为链主，通过产业园整合上游材料改制与下游钢球制造，强化供应链协同。</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公司在建宁阳县基础零部件产业园（占地162.96亩、建筑面积6.9万㎡），规划30万吨钢球钢丝原材料改制及2万吨精密钢球产能；拥有22项专利、8个行政许可，具货物进出口资质。具体已建成产能未公开披露。</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销售采取"产业园集采+技术背书（洛轴所）+出口"模式，依托宁阳钢球之乡集群渠道与合资企业（云联钢球、宁阳滚动体）辐射市场。</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公司为非上市企业，单体营收、利润未公开披露；产业园项目总投资11亿元、全面达产规划产能30万吨材料改制+2万吨精密钢球，为宁阳钢球产业升级核心项目。具体市占率未公开。</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辰信轴承科技（山东）有限公司为非上市企业，单体审计报告未公开披露，无公开的最近三年营收、净利润、毛利率、资产负债率、经营现金流数据。公司注册资本5,000万元、实缴2,450万元；作为2022年新设、尚处产业园建设期的企业，财务体量尚在培育。</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单体毛利率、净利率未公开披露。作为产业园建设运营主体，当前以资本开支为主，盈利将随精密钢球产线达产释放。</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注册资本5,000万元、实缴2,450万元；对外投资2家、专利22项，资产与技术储备在建设中。具体资产结构未公开披露。</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单体资产负债率、有息负债未公开披露；公司承担11亿元产业园投资，未来融资需求较大，需关注杠杆与现金流。</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经营现金流净额未公开披露；产业园建设期资本开支大，现金流以投资活动为主。</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集群宁阳县新东工贸有限公司（微型民营、传统钢球）、宁阳县先锋轴承钢球厂（微型个人独资）相比，辰信轴承科技为国资控股混合所有制的链主企业，投资规模（11亿）、产能规划（2万吨精密钢球）与技术水平（洛轴所支撑、绿色智能）显著领先，是宁阳钢球产业升级的核心平台。</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国资控股（51%）的混合所有制有限责任公司，设董事长（徐先懂）及董事、管理层；国资方（宁阳高新技术产业发展集团/宁阳县国资运营中心）与民营方（辰信矿业）共同治理，兼具国企规范与民企效率。</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法定代表人/董事长徐先懂；管理层由国资与辰信方共同委派，体现混合所有制特征。</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公司执行国企内控与全面风险管理要求（国资控股方），规范化水平较好；产业园建设按现代企业制度推进。</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2025年参保122人，人员规模100—499人；依托洛阳轴承研究所技术支撑与研发团队，专利22项，技术人力正在集聚。</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1. 链主与政策：宁阳"中国钢球之乡"链主企业，享受省级特色产业集群政策与国资背书。</w:t>
      </w:r>
    </w:p>
    <w:p>
      <w:pPr>
        <w:spacing w:lineRule="exact" w:line="600" w:before="0" w:after="0"/>
        <w:ind w:firstLine="420"/>
        <w:jc w:val="both"/>
      </w:pPr>
      <w:r>
        <w:rPr>
          <w:rFonts w:ascii="仿宋_GB2312" w:hAnsi="仿宋_GB2312" w:eastAsia="仿宋_GB2312"/>
          <w:b w:val="0"/>
          <w:color w:val="000000"/>
          <w:sz w:val="32"/>
        </w:rPr>
        <w:t>2. 技术与升级：洛阳轴承研究所技术支撑、绿色智能智造示范工厂、22项专利。</w:t>
      </w:r>
    </w:p>
    <w:p>
      <w:pPr>
        <w:spacing w:lineRule="exact" w:line="600" w:before="0" w:after="0"/>
        <w:ind w:firstLine="420"/>
        <w:jc w:val="both"/>
      </w:pPr>
      <w:r>
        <w:rPr>
          <w:rFonts w:ascii="仿宋_GB2312" w:hAnsi="仿宋_GB2312" w:eastAsia="仿宋_GB2312"/>
          <w:b w:val="0"/>
          <w:color w:val="000000"/>
          <w:sz w:val="32"/>
        </w:rPr>
        <w:t>3. 规模规划：11亿元投资、30万吨材料改制+2万吨精密钢球产能，规模与成本优势待释放。</w:t>
      </w:r>
    </w:p>
    <w:p>
      <w:pPr>
        <w:spacing w:lineRule="exact" w:line="600" w:before="0" w:after="0"/>
        <w:ind w:firstLine="420"/>
        <w:jc w:val="both"/>
      </w:pPr>
      <w:r>
        <w:rPr>
          <w:rFonts w:ascii="仿宋_GB2312" w:hAnsi="仿宋_GB2312" w:eastAsia="仿宋_GB2312"/>
          <w:b w:val="0"/>
          <w:color w:val="000000"/>
          <w:sz w:val="32"/>
        </w:rPr>
        <w:t>4. 混合所有制：国资信用+民营效率，融资与资源整合能力强。</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（一）行业与经营风险</w:t>
      </w:r>
    </w:p>
    <w:p>
      <w:pPr>
        <w:spacing w:lineRule="exact" w:line="600" w:before="0" w:after="0"/>
        <w:ind w:firstLine="420"/>
        <w:jc w:val="both"/>
      </w:pPr>
      <w:r>
        <w:rPr>
          <w:rFonts w:ascii="仿宋_GB2312" w:hAnsi="仿宋_GB2312" w:eastAsia="仿宋_GB2312"/>
          <w:b w:val="0"/>
          <w:color w:val="000000"/>
          <w:sz w:val="32"/>
        </w:rPr>
        <w:t>钢球（轴承滚动体）行业强周期，与轴承、汽车、风电等下游相关；产能过剩与价格竞争为共性问题；产业园建设期投入大、达产不及预期风险需关注。</w:t>
      </w:r>
    </w:p>
    <w:p>
      <w:pPr>
        <w:spacing w:lineRule="exact" w:line="600" w:before="120" w:after="120"/>
        <w:ind w:firstLine="420"/>
        <w:jc w:val="left"/>
      </w:pPr>
      <w:r>
        <w:rPr>
          <w:rFonts w:ascii="楷体_GB2312" w:hAnsi="楷体_GB2312" w:eastAsia="楷体_GB2312"/>
          <w:b w:val="0"/>
          <w:color w:val="000000"/>
          <w:sz w:val="32"/>
        </w:rPr>
        <w:t>（二）财务与合规风险</w:t>
      </w:r>
    </w:p>
    <w:p>
      <w:pPr>
        <w:spacing w:lineRule="exact" w:line="600" w:before="0" w:after="0"/>
        <w:ind w:firstLine="420"/>
        <w:jc w:val="both"/>
      </w:pPr>
      <w:r>
        <w:rPr>
          <w:rFonts w:ascii="仿宋_GB2312" w:hAnsi="仿宋_GB2312" w:eastAsia="仿宋_GB2312"/>
          <w:b w:val="0"/>
          <w:color w:val="000000"/>
          <w:sz w:val="32"/>
        </w:rPr>
        <w:t>据天眼查，公司天眼风险信息14条，未见重大处罚公开记录；作为新设建设期企业，财务透明度较低，建议尽调核实投资进度与负债。</w:t>
      </w:r>
    </w:p>
    <w:p>
      <w:pPr>
        <w:spacing w:lineRule="exact" w:line="600" w:before="120" w:after="120"/>
        <w:ind w:firstLine="420"/>
        <w:jc w:val="left"/>
      </w:pPr>
      <w:r>
        <w:rPr>
          <w:rFonts w:ascii="楷体_GB2312" w:hAnsi="楷体_GB2312" w:eastAsia="楷体_GB2312"/>
          <w:b w:val="0"/>
          <w:color w:val="000000"/>
          <w:sz w:val="32"/>
        </w:rPr>
        <w:t>（三）应对措施</w:t>
      </w:r>
    </w:p>
    <w:p>
      <w:pPr>
        <w:spacing w:lineRule="exact" w:line="600" w:before="0" w:after="0"/>
        <w:ind w:firstLine="420"/>
        <w:jc w:val="both"/>
      </w:pPr>
      <w:r>
        <w:rPr>
          <w:rFonts w:ascii="仿宋_GB2312" w:hAnsi="仿宋_GB2312" w:eastAsia="仿宋_GB2312"/>
          <w:b w:val="0"/>
          <w:color w:val="000000"/>
          <w:sz w:val="32"/>
        </w:rPr>
        <w:t>公司以绿色智能智造、精密钢球高端化差异化；以产业园集采与洛轴所技术提升溢价；以混合所有制优化治理。</w:t>
      </w:r>
    </w:p>
    <w:p>
      <w:pPr>
        <w:spacing w:lineRule="exact" w:line="600" w:before="120" w:after="120"/>
        <w:ind w:firstLine="420"/>
        <w:jc w:val="left"/>
      </w:pPr>
      <w:r>
        <w:rPr>
          <w:rFonts w:ascii="楷体_GB2312" w:hAnsi="楷体_GB2312" w:eastAsia="楷体_GB2312"/>
          <w:b w:val="0"/>
          <w:color w:val="000000"/>
          <w:sz w:val="32"/>
        </w:rPr>
        <w:t>（四）管理风险</w:t>
      </w:r>
    </w:p>
    <w:p>
      <w:pPr>
        <w:spacing w:lineRule="exact" w:line="600" w:before="0" w:after="0"/>
        <w:ind w:firstLine="420"/>
        <w:jc w:val="both"/>
      </w:pPr>
      <w:r>
        <w:rPr>
          <w:rFonts w:ascii="仿宋_GB2312" w:hAnsi="仿宋_GB2312" w:eastAsia="仿宋_GB2312"/>
          <w:b w:val="0"/>
          <w:color w:val="000000"/>
          <w:sz w:val="32"/>
        </w:rPr>
        <w:t>国资与民营双层治理需平衡决策效率；建议完善财务披露与项目风险隔离。</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1. 项目融资：11亿元产业园建设存在较大资本开支，可对接项目贷款、设备融资租赁与供应链金融。</w:t>
      </w:r>
    </w:p>
    <w:p>
      <w:pPr>
        <w:spacing w:lineRule="exact" w:line="600" w:before="0" w:after="0"/>
        <w:ind w:firstLine="420"/>
        <w:jc w:val="both"/>
      </w:pPr>
      <w:r>
        <w:rPr>
          <w:rFonts w:ascii="仿宋_GB2312" w:hAnsi="仿宋_GB2312" w:eastAsia="仿宋_GB2312"/>
          <w:b w:val="0"/>
          <w:color w:val="000000"/>
          <w:sz w:val="32"/>
        </w:rPr>
        <w:t>2. 供应链金融：上游材料改制与下游钢球赊销占用资金，可对接保理与订单融资。</w:t>
      </w:r>
    </w:p>
    <w:p>
      <w:pPr>
        <w:spacing w:lineRule="exact" w:line="600" w:before="0" w:after="0"/>
        <w:ind w:firstLine="420"/>
        <w:jc w:val="both"/>
      </w:pPr>
      <w:r>
        <w:rPr>
          <w:rFonts w:ascii="仿宋_GB2312" w:hAnsi="仿宋_GB2312" w:eastAsia="仿宋_GB2312"/>
          <w:b w:val="0"/>
          <w:color w:val="000000"/>
          <w:sz w:val="32"/>
        </w:rPr>
        <w:t>3. 小贷：面向产业园内中小配套供应商提供供应链小贷，稳定产业链。</w:t>
      </w:r>
    </w:p>
    <w:p>
      <w:pPr>
        <w:spacing w:lineRule="exact" w:line="600" w:before="0" w:after="0"/>
        <w:ind w:firstLine="420"/>
        <w:jc w:val="both"/>
      </w:pPr>
      <w:r>
        <w:rPr>
          <w:rFonts w:ascii="仿宋_GB2312" w:hAnsi="仿宋_GB2312" w:eastAsia="仿宋_GB2312"/>
          <w:b w:val="0"/>
          <w:color w:val="000000"/>
          <w:sz w:val="32"/>
        </w:rPr>
        <w:t>4. 投贷联动：作为链主与混合所有制企业，具备股权+债权协同价值，可重点切入。</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辰信轴承科技是宁阳"中国钢球之乡"链主企业、国资控股的混合所有制平台，投资11亿元建设先进绿色智能智造示范工厂，规划2万吨精密钢球产能，技术（洛轴所）与政策（省级特色产业集群）优势突出。公司为新设建设期企业，单体财务未公开披露。</w:t>
      </w:r>
    </w:p>
    <w:p>
      <w:pPr>
        <w:spacing w:lineRule="exact" w:line="600" w:before="0" w:after="0"/>
        <w:ind w:firstLine="420"/>
        <w:jc w:val="both"/>
      </w:pPr>
      <w:r>
        <w:rPr>
          <w:rFonts w:ascii="仿宋_GB2312" w:hAnsi="仿宋_GB2312" w:eastAsia="仿宋_GB2312"/>
          <w:b w:val="0"/>
          <w:color w:val="000000"/>
          <w:sz w:val="32"/>
        </w:rPr>
        <w:t>发展展望：产业园达产将推动宁阳钢球产业提档升级；精密钢球、轴承钢材改制与新能源辅业构成成长空间。</w:t>
      </w:r>
    </w:p>
    <w:p>
      <w:pPr>
        <w:spacing w:lineRule="exact" w:line="600" w:before="0" w:after="0"/>
        <w:ind w:firstLine="420"/>
        <w:jc w:val="both"/>
      </w:pPr>
      <w:r>
        <w:rPr>
          <w:rFonts w:ascii="仿宋_GB2312" w:hAnsi="仿宋_GB2312" w:eastAsia="仿宋_GB2312"/>
          <w:b w:val="0"/>
          <w:color w:val="000000"/>
          <w:sz w:val="32"/>
        </w:rPr>
        <w:t>挑战：建设期资本开支大、行业周期、达产与价格竞争风险。</w:t>
      </w:r>
    </w:p>
    <w:p>
      <w:pPr>
        <w:spacing w:lineRule="exact" w:line="600" w:before="0" w:after="0"/>
        <w:ind w:firstLine="420"/>
        <w:jc w:val="both"/>
      </w:pPr>
      <w:r>
        <w:rPr>
          <w:rFonts w:ascii="仿宋_GB2312" w:hAnsi="仿宋_GB2312" w:eastAsia="仿宋_GB2312"/>
          <w:b w:val="0"/>
          <w:color w:val="000000"/>
          <w:sz w:val="32"/>
        </w:rPr>
        <w:t>结论与建议：建议山东投资以项目融资、设备融资租赁与供应链金融重点切入辰信，依托国资信用控制风险；投资评价应重点尽调产业园投资进度、负债与达产预测。公司产业地位与升级潜力突出，是集群内最具平台价值的合作标的。</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1. 国家企业信用信息公示系统及天眼查/企查查/水滴信用：工商登记、股东（宁阳高新股51%、辰信企管49%）、参保、对外投资、专利、风险。</w:t>
      </w:r>
    </w:p>
    <w:p>
      <w:pPr>
        <w:spacing w:lineRule="exact" w:line="600" w:before="0" w:after="0"/>
        <w:ind w:firstLine="420"/>
        <w:jc w:val="both"/>
      </w:pPr>
      <w:r>
        <w:rPr>
          <w:rFonts w:ascii="仿宋_GB2312" w:hAnsi="仿宋_GB2312" w:eastAsia="仿宋_GB2312"/>
          <w:b w:val="0"/>
          <w:color w:val="000000"/>
          <w:sz w:val="32"/>
        </w:rPr>
        <w:t>2. 宁阳公共招聘网、山东省装备制造业协会、宁阳县政府：产业园投资11亿、产能规划、链主地位、洛轴所技术支撑。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