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山东泰安岱岳区(玻璃纤维新材料)特色产业集群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山东润德复合材料有限公司企业分析报告</w:t>
      </w:r>
    </w:p>
    <w:p>
      <w:pPr>
        <w:spacing w:lineRule="exact" w:line="600" w:before="0" w:after="0"/>
        <w:jc w:val="left"/>
      </w:pPr>
      <w:r>
        <w:rPr>
          <w:rFonts w:ascii="仿宋_GB2312" w:hAnsi="仿宋_GB2312" w:eastAsia="仿宋_GB2312"/>
          <w:b w:val="0"/>
          <w:color w:val="000000"/>
          <w:sz w:val="28"/>
        </w:rPr>
        <w:t>（本报告依据公开工商信息、企业官网、天眼查/供应商平台资料及岱岳区公开报道编写，用于产业投资参考。非上市公司财务数据未公开披露，均如实标注。数据来源见文末。）</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（一）工商基本信息</w:t>
      </w:r>
    </w:p>
    <w:p>
      <w:pPr>
        <w:spacing w:lineRule="exact" w:line="600" w:before="0" w:after="0"/>
        <w:ind w:firstLine="420"/>
        <w:jc w:val="both"/>
      </w:pPr>
      <w:r>
        <w:rPr>
          <w:rFonts w:ascii="仿宋_GB2312" w:hAnsi="仿宋_GB2312" w:eastAsia="仿宋_GB2312"/>
          <w:b w:val="0"/>
          <w:color w:val="000000"/>
          <w:sz w:val="32"/>
        </w:rPr>
        <w:t>山东润德复合材料有限公司坐落于泰安市大汶口石膏工业园（岱岳区），法定代表人为李兴刚，注册资本8,060万元人民币，成立于2009年（工商登记记载成立日期2009-05-11），参保人数约300—500人，是中国土工合成材料重点生产企业、岱岳区玻纤复合材料领域龙头之一。</w:t>
      </w:r>
    </w:p>
    <w:tbl>
      <w:tblPr>
        <w:tblStyle w:val="TableGrid"/>
        <w:tblW w:type="auto" w:w="0"/>
        <w:jc w:val="center"/>
        <w:tblLook w:firstColumn="1" w:firstRow="1" w:lastColumn="0" w:lastRow="0" w:noHBand="0" w:noVBand="1" w:val="04A0"/>
      </w:tblPr>
      <w:tblGrid>
        <w:gridCol w:w="4422"/>
        <w:gridCol w:w="4422"/>
      </w:tblGrid>
      <w:tr>
        <w:tc>
          <w:tcPr>
            <w:tcW w:type="dxa" w:w="2268"/>
          </w:tcPr>
          <w:p>
            <w:pPr>
              <w:spacing w:lineRule="exact" w:line="600"/>
              <w:jc w:val="center"/>
            </w:pPr>
            <w:r/>
            <w:r>
              <w:rPr>
                <w:rFonts w:ascii="黑体" w:hAnsi="黑体" w:eastAsia="黑体"/>
                <w:b/>
                <w:color w:val="000000"/>
                <w:sz w:val="32"/>
              </w:rPr>
              <w:t>项目</w:t>
            </w:r>
          </w:p>
        </w:tc>
        <w:tc>
          <w:tcPr>
            <w:tcW w:type="dxa" w:w="6803"/>
          </w:tcPr>
          <w:p>
            <w:pPr>
              <w:spacing w:lineRule="exact" w:line="600"/>
              <w:jc w:val="center"/>
            </w:pPr>
            <w:r/>
            <w:r>
              <w:rPr>
                <w:rFonts w:ascii="黑体" w:hAnsi="黑体" w:eastAsia="黑体"/>
                <w:b/>
                <w:color w:val="000000"/>
                <w:sz w:val="32"/>
              </w:rPr>
              <w:t>内容</w:t>
            </w:r>
          </w:p>
        </w:tc>
      </w:tr>
      <w:tr>
        <w:tc>
          <w:tcPr>
            <w:tcW w:type="dxa" w:w="2268"/>
          </w:tcPr>
          <w:p>
            <w:pPr>
              <w:spacing w:lineRule="exact" w:line="600"/>
              <w:jc w:val="center"/>
            </w:pPr>
            <w:r/>
            <w:r>
              <w:rPr>
                <w:rFonts w:ascii="仿宋_GB2312" w:hAnsi="仿宋_GB2312" w:eastAsia="仿宋_GB2312"/>
                <w:b w:val="0"/>
                <w:color w:val="000000"/>
                <w:sz w:val="32"/>
              </w:rPr>
              <w:t>企业名称</w:t>
            </w:r>
          </w:p>
        </w:tc>
        <w:tc>
          <w:tcPr>
            <w:tcW w:type="dxa" w:w="6803"/>
          </w:tcPr>
          <w:p>
            <w:pPr>
              <w:spacing w:lineRule="exact" w:line="600"/>
              <w:jc w:val="center"/>
            </w:pPr>
            <w:r/>
            <w:r>
              <w:rPr>
                <w:rFonts w:ascii="仿宋_GB2312" w:hAnsi="仿宋_GB2312" w:eastAsia="仿宋_GB2312"/>
                <w:b w:val="0"/>
                <w:color w:val="000000"/>
                <w:sz w:val="32"/>
              </w:rPr>
              <w:t>山东润德复合材料有限公司</w:t>
            </w:r>
          </w:p>
        </w:tc>
      </w:tr>
      <w:tr>
        <w:tc>
          <w:tcPr>
            <w:tcW w:type="dxa" w:w="2268"/>
          </w:tcPr>
          <w:p>
            <w:pPr>
              <w:spacing w:lineRule="exact" w:line="600"/>
              <w:jc w:val="center"/>
            </w:pPr>
            <w:r/>
            <w:r>
              <w:rPr>
                <w:rFonts w:ascii="仿宋_GB2312" w:hAnsi="仿宋_GB2312" w:eastAsia="仿宋_GB2312"/>
                <w:b w:val="0"/>
                <w:color w:val="000000"/>
                <w:sz w:val="32"/>
              </w:rPr>
              <w:t>成立日期</w:t>
            </w:r>
          </w:p>
        </w:tc>
        <w:tc>
          <w:tcPr>
            <w:tcW w:type="dxa" w:w="6803"/>
          </w:tcPr>
          <w:p>
            <w:pPr>
              <w:spacing w:lineRule="exact" w:line="600"/>
              <w:jc w:val="center"/>
            </w:pPr>
            <w:r/>
            <w:r>
              <w:rPr>
                <w:rFonts w:ascii="仿宋_GB2312" w:hAnsi="仿宋_GB2312" w:eastAsia="仿宋_GB2312"/>
                <w:b w:val="0"/>
                <w:color w:val="000000"/>
                <w:sz w:val="32"/>
              </w:rPr>
              <w:t>2009-05-11（工商登记）</w:t>
            </w:r>
          </w:p>
        </w:tc>
      </w:tr>
      <w:tr>
        <w:tc>
          <w:tcPr>
            <w:tcW w:type="dxa" w:w="2268"/>
          </w:tcPr>
          <w:p>
            <w:pPr>
              <w:spacing w:lineRule="exact" w:line="600"/>
              <w:jc w:val="center"/>
            </w:pPr>
            <w:r/>
            <w:r>
              <w:rPr>
                <w:rFonts w:ascii="仿宋_GB2312" w:hAnsi="仿宋_GB2312" w:eastAsia="仿宋_GB2312"/>
                <w:b w:val="0"/>
                <w:color w:val="000000"/>
                <w:sz w:val="32"/>
              </w:rPr>
              <w:t>法定代表人</w:t>
            </w:r>
          </w:p>
        </w:tc>
        <w:tc>
          <w:tcPr>
            <w:tcW w:type="dxa" w:w="6803"/>
          </w:tcPr>
          <w:p>
            <w:pPr>
              <w:spacing w:lineRule="exact" w:line="600"/>
              <w:jc w:val="center"/>
            </w:pPr>
            <w:r/>
            <w:r>
              <w:rPr>
                <w:rFonts w:ascii="仿宋_GB2312" w:hAnsi="仿宋_GB2312" w:eastAsia="仿宋_GB2312"/>
                <w:b w:val="0"/>
                <w:color w:val="000000"/>
                <w:sz w:val="32"/>
              </w:rPr>
              <w:t>李兴刚</w:t>
            </w:r>
          </w:p>
        </w:tc>
      </w:tr>
      <w:tr>
        <w:tc>
          <w:tcPr>
            <w:tcW w:type="dxa" w:w="2268"/>
          </w:tcPr>
          <w:p>
            <w:pPr>
              <w:spacing w:lineRule="exact" w:line="600"/>
              <w:jc w:val="center"/>
            </w:pPr>
            <w:r/>
            <w:r>
              <w:rPr>
                <w:rFonts w:ascii="仿宋_GB2312" w:hAnsi="仿宋_GB2312" w:eastAsia="仿宋_GB2312"/>
                <w:b w:val="0"/>
                <w:color w:val="000000"/>
                <w:sz w:val="32"/>
              </w:rPr>
              <w:t>注册资本</w:t>
            </w:r>
          </w:p>
        </w:tc>
        <w:tc>
          <w:tcPr>
            <w:tcW w:type="dxa" w:w="6803"/>
          </w:tcPr>
          <w:p>
            <w:pPr>
              <w:spacing w:lineRule="exact" w:line="600"/>
              <w:jc w:val="center"/>
            </w:pPr>
            <w:r/>
            <w:r>
              <w:rPr>
                <w:rFonts w:ascii="仿宋_GB2312" w:hAnsi="仿宋_GB2312" w:eastAsia="仿宋_GB2312"/>
                <w:b w:val="0"/>
                <w:color w:val="000000"/>
                <w:sz w:val="32"/>
              </w:rPr>
              <w:t>8,060万元人民币</w:t>
            </w:r>
          </w:p>
        </w:tc>
      </w:tr>
      <w:tr>
        <w:tc>
          <w:tcPr>
            <w:tcW w:type="dxa" w:w="2268"/>
          </w:tcPr>
          <w:p>
            <w:pPr>
              <w:spacing w:lineRule="exact" w:line="600"/>
              <w:jc w:val="center"/>
            </w:pPr>
            <w:r/>
            <w:r>
              <w:rPr>
                <w:rFonts w:ascii="仿宋_GB2312" w:hAnsi="仿宋_GB2312" w:eastAsia="仿宋_GB2312"/>
                <w:b w:val="0"/>
                <w:color w:val="000000"/>
                <w:sz w:val="32"/>
              </w:rPr>
              <w:t>参保人数</w:t>
            </w:r>
          </w:p>
        </w:tc>
        <w:tc>
          <w:tcPr>
            <w:tcW w:type="dxa" w:w="6803"/>
          </w:tcPr>
          <w:p>
            <w:pPr>
              <w:spacing w:lineRule="exact" w:line="600"/>
              <w:jc w:val="center"/>
            </w:pPr>
            <w:r/>
            <w:r>
              <w:rPr>
                <w:rFonts w:ascii="仿宋_GB2312" w:hAnsi="仿宋_GB2312" w:eastAsia="仿宋_GB2312"/>
                <w:b w:val="0"/>
                <w:color w:val="000000"/>
                <w:sz w:val="32"/>
              </w:rPr>
              <w:t>约300—500人</w:t>
            </w:r>
          </w:p>
        </w:tc>
      </w:tr>
      <w:tr>
        <w:tc>
          <w:tcPr>
            <w:tcW w:type="dxa" w:w="2268"/>
          </w:tcPr>
          <w:p>
            <w:pPr>
              <w:spacing w:lineRule="exact" w:line="600"/>
              <w:jc w:val="center"/>
            </w:pPr>
            <w:r/>
            <w:r>
              <w:rPr>
                <w:rFonts w:ascii="仿宋_GB2312" w:hAnsi="仿宋_GB2312" w:eastAsia="仿宋_GB2312"/>
                <w:b w:val="0"/>
                <w:color w:val="000000"/>
                <w:sz w:val="32"/>
              </w:rPr>
              <w:t>注册地</w:t>
            </w:r>
          </w:p>
        </w:tc>
        <w:tc>
          <w:tcPr>
            <w:tcW w:type="dxa" w:w="6803"/>
          </w:tcPr>
          <w:p>
            <w:pPr>
              <w:spacing w:lineRule="exact" w:line="600"/>
              <w:jc w:val="center"/>
            </w:pPr>
            <w:r/>
            <w:r>
              <w:rPr>
                <w:rFonts w:ascii="仿宋_GB2312" w:hAnsi="仿宋_GB2312" w:eastAsia="仿宋_GB2312"/>
                <w:b w:val="0"/>
                <w:color w:val="000000"/>
                <w:sz w:val="32"/>
              </w:rPr>
              <w:t>泰安市大汶口石膏工业园（岱岳区）</w:t>
            </w:r>
          </w:p>
        </w:tc>
      </w:tr>
      <w:tr>
        <w:tc>
          <w:tcPr>
            <w:tcW w:type="dxa" w:w="2268"/>
          </w:tcPr>
          <w:p>
            <w:pPr>
              <w:spacing w:lineRule="exact" w:line="600"/>
              <w:jc w:val="center"/>
            </w:pPr>
            <w:r/>
            <w:r>
              <w:rPr>
                <w:rFonts w:ascii="仿宋_GB2312" w:hAnsi="仿宋_GB2312" w:eastAsia="仿宋_GB2312"/>
                <w:b w:val="0"/>
                <w:color w:val="000000"/>
                <w:sz w:val="32"/>
              </w:rPr>
              <w:t>行业分类</w:t>
            </w:r>
          </w:p>
        </w:tc>
        <w:tc>
          <w:tcPr>
            <w:tcW w:type="dxa" w:w="6803"/>
          </w:tcPr>
          <w:p>
            <w:pPr>
              <w:spacing w:lineRule="exact" w:line="600"/>
              <w:jc w:val="center"/>
            </w:pPr>
            <w:r/>
            <w:r>
              <w:rPr>
                <w:rFonts w:ascii="仿宋_GB2312" w:hAnsi="仿宋_GB2312" w:eastAsia="仿宋_GB2312"/>
                <w:b w:val="0"/>
                <w:color w:val="000000"/>
                <w:sz w:val="32"/>
              </w:rPr>
              <w:t>玻纤复合材料/土工合成材料</w:t>
            </w:r>
          </w:p>
        </w:tc>
      </w:tr>
      <w:tr>
        <w:tc>
          <w:tcPr>
            <w:tcW w:type="dxa" w:w="2268"/>
          </w:tcPr>
          <w:p>
            <w:pPr>
              <w:spacing w:lineRule="exact" w:line="600"/>
              <w:jc w:val="center"/>
            </w:pPr>
            <w:r/>
            <w:r>
              <w:rPr>
                <w:rFonts w:ascii="仿宋_GB2312" w:hAnsi="仿宋_GB2312" w:eastAsia="仿宋_GB2312"/>
                <w:b w:val="0"/>
                <w:color w:val="000000"/>
                <w:sz w:val="32"/>
              </w:rPr>
              <w:t>企业性质</w:t>
            </w:r>
          </w:p>
        </w:tc>
        <w:tc>
          <w:tcPr>
            <w:tcW w:type="dxa" w:w="6803"/>
          </w:tcPr>
          <w:p>
            <w:pPr>
              <w:spacing w:lineRule="exact" w:line="600"/>
              <w:jc w:val="center"/>
            </w:pPr>
            <w:r/>
            <w:r>
              <w:rPr>
                <w:rFonts w:ascii="仿宋_GB2312" w:hAnsi="仿宋_GB2312" w:eastAsia="仿宋_GB2312"/>
                <w:b w:val="0"/>
                <w:color w:val="000000"/>
                <w:sz w:val="32"/>
              </w:rPr>
              <w:t>民营</w:t>
            </w:r>
          </w:p>
        </w:tc>
      </w:tr>
    </w:tbl>
    <w:p>
      <w:pPr>
        <w:spacing w:lineRule="exact" w:line="600" w:before="120" w:after="120"/>
        <w:ind w:firstLine="420"/>
        <w:jc w:val="left"/>
      </w:pPr>
      <w:r>
        <w:rPr>
          <w:rFonts w:ascii="楷体_GB2312" w:hAnsi="楷体_GB2312" w:eastAsia="楷体_GB2312"/>
          <w:b w:val="0"/>
          <w:color w:val="000000"/>
          <w:sz w:val="32"/>
        </w:rPr>
        <w:t>（二）组织架构与股权结构</w:t>
      </w:r>
    </w:p>
    <w:p>
      <w:pPr>
        <w:spacing w:lineRule="exact" w:line="600" w:before="0" w:after="0"/>
        <w:ind w:firstLine="420"/>
        <w:jc w:val="both"/>
      </w:pPr>
      <w:r>
        <w:rPr>
          <w:rFonts w:ascii="仿宋_GB2312" w:hAnsi="仿宋_GB2312" w:eastAsia="仿宋_GB2312"/>
          <w:b w:val="0"/>
          <w:color w:val="000000"/>
          <w:sz w:val="32"/>
        </w:rPr>
        <w:t>公司为民营控股，法定代表人与实际控制人李兴刚。作为深耕土工材料十余年的专业化企业，股权与管理团队稳定。</w:t>
      </w:r>
    </w:p>
    <w:p>
      <w:pPr>
        <w:spacing w:lineRule="exact" w:line="600" w:before="120" w:after="120"/>
        <w:ind w:firstLine="420"/>
        <w:jc w:val="left"/>
      </w:pPr>
      <w:r>
        <w:rPr>
          <w:rFonts w:ascii="楷体_GB2312" w:hAnsi="楷体_GB2312" w:eastAsia="楷体_GB2312"/>
          <w:b w:val="0"/>
          <w:color w:val="000000"/>
          <w:sz w:val="32"/>
        </w:rPr>
        <w:t>（三）业务定位</w:t>
      </w:r>
    </w:p>
    <w:p>
      <w:pPr>
        <w:spacing w:lineRule="exact" w:line="600" w:before="0" w:after="0"/>
        <w:ind w:firstLine="420"/>
        <w:jc w:val="both"/>
      </w:pPr>
      <w:r>
        <w:rPr>
          <w:rFonts w:ascii="仿宋_GB2312" w:hAnsi="仿宋_GB2312" w:eastAsia="仿宋_GB2312"/>
          <w:b w:val="0"/>
          <w:color w:val="000000"/>
          <w:sz w:val="32"/>
        </w:rPr>
        <w:t>公司主营基础设施建设用新材料，包括单/双向拉伸塑料土工格栅、钢塑土工格栅、玻纤土工格栅、高强土工格室、土工布、土工膜、复合土工膜等，应用于公路、铁路、水利、隧道等工程路基增强、加固、防渗及矿山巷道支护。</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（一）主营业务与产品</w:t>
      </w:r>
    </w:p>
    <w:p>
      <w:pPr>
        <w:spacing w:lineRule="exact" w:line="600" w:before="0" w:after="0"/>
        <w:ind w:firstLine="420"/>
        <w:jc w:val="both"/>
      </w:pPr>
      <w:r>
        <w:rPr>
          <w:rFonts w:ascii="仿宋_GB2312" w:hAnsi="仿宋_GB2312" w:eastAsia="仿宋_GB2312"/>
          <w:b w:val="0"/>
          <w:color w:val="000000"/>
          <w:sz w:val="32"/>
        </w:rPr>
        <w:t>产品以各类土工格栅为核心，覆盖塑料、钢塑、玻纤、涤纶经编等多材质系列，并向土工布、土工膜、土工格室延伸，形成基础设施加固材料综合供给能力。</w:t>
      </w:r>
    </w:p>
    <w:p>
      <w:pPr>
        <w:spacing w:lineRule="exact" w:line="600" w:before="120" w:after="120"/>
        <w:ind w:firstLine="420"/>
        <w:jc w:val="left"/>
      </w:pPr>
      <w:r>
        <w:rPr>
          <w:rFonts w:ascii="楷体_GB2312" w:hAnsi="楷体_GB2312" w:eastAsia="楷体_GB2312"/>
          <w:b w:val="0"/>
          <w:color w:val="000000"/>
          <w:sz w:val="32"/>
        </w:rPr>
        <w:t>（二）市场与客户</w:t>
      </w:r>
    </w:p>
    <w:p>
      <w:pPr>
        <w:spacing w:lineRule="exact" w:line="600" w:before="0" w:after="0"/>
        <w:ind w:firstLine="420"/>
        <w:jc w:val="both"/>
      </w:pPr>
      <w:r>
        <w:rPr>
          <w:rFonts w:ascii="仿宋_GB2312" w:hAnsi="仿宋_GB2312" w:eastAsia="仿宋_GB2312"/>
          <w:b w:val="0"/>
          <w:color w:val="000000"/>
          <w:sz w:val="32"/>
        </w:rPr>
        <w:t>产品已广泛应用于京沪高速、潍烟铁路、包银铁路、和若铁路、兰新铁路等几十项国家重点工程，并出口韩国、日本、美国、欧洲等十余国和地区，市场占有率位居行业前列。</w:t>
      </w:r>
    </w:p>
    <w:p>
      <w:pPr>
        <w:spacing w:lineRule="exact" w:line="600" w:before="120" w:after="120"/>
        <w:ind w:firstLine="420"/>
        <w:jc w:val="left"/>
      </w:pPr>
      <w:r>
        <w:rPr>
          <w:rFonts w:ascii="楷体_GB2312" w:hAnsi="楷体_GB2312" w:eastAsia="楷体_GB2312"/>
          <w:b w:val="0"/>
          <w:color w:val="000000"/>
          <w:sz w:val="32"/>
        </w:rPr>
        <w:t>（三）技术与资质</w:t>
      </w:r>
    </w:p>
    <w:p>
      <w:pPr>
        <w:spacing w:lineRule="exact" w:line="600" w:before="0" w:after="0"/>
        <w:ind w:firstLine="420"/>
        <w:jc w:val="both"/>
      </w:pPr>
      <w:r>
        <w:rPr>
          <w:rFonts w:ascii="仿宋_GB2312" w:hAnsi="仿宋_GB2312" w:eastAsia="仿宋_GB2312"/>
          <w:b w:val="0"/>
          <w:color w:val="000000"/>
          <w:sz w:val="32"/>
        </w:rPr>
        <w:t>公司系国家专精特新"小巨人"企业、山东省瞪羚企业、山东省中小企业隐形冠军、省级守合同重信用企业，拥有山东省企业技术中心、泰安市特种塑料产业技术研究院等平台；牵头或参与起草标准16项，获科技成果奖励5项，承担国家及省市级科研项目20余项，通过质量/环境/职业健康安全管理体系认证。</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（一）财务数据说明</w:t>
      </w:r>
    </w:p>
    <w:p>
      <w:pPr>
        <w:spacing w:lineRule="exact" w:line="600" w:before="0" w:after="0"/>
        <w:ind w:firstLine="420"/>
        <w:jc w:val="both"/>
      </w:pPr>
      <w:r>
        <w:rPr>
          <w:rFonts w:ascii="仿宋_GB2312" w:hAnsi="仿宋_GB2312" w:eastAsia="仿宋_GB2312"/>
          <w:b w:val="0"/>
          <w:color w:val="000000"/>
          <w:sz w:val="32"/>
        </w:rPr>
        <w:t>山东润德复合材料有限公司为非上市民营企业，未公开披露经审计财报；B2B平台显示年营业额约1亿元/年以上（非审计口径），仅供参考。</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指标</w:t>
            </w:r>
          </w:p>
        </w:tc>
        <w:tc>
          <w:tcPr>
            <w:tcW w:type="dxa" w:w="3685"/>
          </w:tcPr>
          <w:p>
            <w:pPr>
              <w:spacing w:lineRule="exact" w:line="600"/>
              <w:jc w:val="center"/>
            </w:pPr>
            <w:r/>
            <w:r>
              <w:rPr>
                <w:rFonts w:ascii="黑体" w:hAnsi="黑体" w:eastAsia="黑体"/>
                <w:b/>
                <w:color w:val="000000"/>
                <w:sz w:val="32"/>
              </w:rPr>
              <w:t>情况</w:t>
            </w:r>
          </w:p>
        </w:tc>
        <w:tc>
          <w:tcPr>
            <w:tcW w:type="dxa" w:w="3402"/>
          </w:tcPr>
          <w:p>
            <w:pPr>
              <w:spacing w:lineRule="exact" w:line="600"/>
              <w:jc w:val="center"/>
            </w:pPr>
            <w:r/>
            <w:r>
              <w:rPr>
                <w:rFonts w:ascii="黑体" w:hAnsi="黑体" w:eastAsia="黑体"/>
                <w:b/>
                <w:color w:val="000000"/>
                <w:sz w:val="32"/>
              </w:rPr>
              <w:t>说明</w:t>
            </w:r>
          </w:p>
        </w:tc>
      </w:tr>
      <w:tr>
        <w:tc>
          <w:tcPr>
            <w:tcW w:type="dxa" w:w="1984"/>
          </w:tcPr>
          <w:p>
            <w:pPr>
              <w:spacing w:lineRule="exact" w:line="600"/>
              <w:jc w:val="center"/>
            </w:pPr>
            <w:r/>
            <w:r>
              <w:rPr>
                <w:rFonts w:ascii="仿宋_GB2312" w:hAnsi="仿宋_GB2312" w:eastAsia="仿宋_GB2312"/>
                <w:b w:val="0"/>
                <w:color w:val="000000"/>
                <w:sz w:val="32"/>
              </w:rPr>
              <w:t>营业收入</w:t>
            </w:r>
          </w:p>
        </w:tc>
        <w:tc>
          <w:tcPr>
            <w:tcW w:type="dxa" w:w="3685"/>
          </w:tcPr>
          <w:p>
            <w:pPr>
              <w:spacing w:lineRule="exact" w:line="600"/>
              <w:jc w:val="center"/>
            </w:pPr>
            <w:r/>
            <w:r>
              <w:rPr>
                <w:rFonts w:ascii="仿宋_GB2312" w:hAnsi="仿宋_GB2312" w:eastAsia="仿宋_GB2312"/>
                <w:b w:val="0"/>
                <w:color w:val="000000"/>
                <w:sz w:val="32"/>
              </w:rPr>
              <w:t>约1亿元/年以上（平台口径）</w:t>
            </w:r>
          </w:p>
        </w:tc>
        <w:tc>
          <w:tcPr>
            <w:tcW w:type="dxa" w:w="3402"/>
          </w:tcPr>
          <w:p>
            <w:pPr>
              <w:spacing w:lineRule="exact" w:line="600"/>
              <w:jc w:val="center"/>
            </w:pPr>
            <w:r/>
            <w:r>
              <w:rPr>
                <w:rFonts w:ascii="仿宋_GB2312" w:hAnsi="仿宋_GB2312" w:eastAsia="仿宋_GB2312"/>
                <w:b w:val="0"/>
                <w:color w:val="000000"/>
                <w:sz w:val="32"/>
              </w:rPr>
              <w:t>非审计，仅供参考</w:t>
            </w:r>
          </w:p>
        </w:tc>
      </w:tr>
      <w:tr>
        <w:tc>
          <w:tcPr>
            <w:tcW w:type="dxa" w:w="1984"/>
          </w:tcPr>
          <w:p>
            <w:pPr>
              <w:spacing w:lineRule="exact" w:line="600"/>
              <w:jc w:val="center"/>
            </w:pPr>
            <w:r/>
            <w:r>
              <w:rPr>
                <w:rFonts w:ascii="仿宋_GB2312" w:hAnsi="仿宋_GB2312" w:eastAsia="仿宋_GB2312"/>
                <w:b w:val="0"/>
                <w:color w:val="000000"/>
                <w:sz w:val="32"/>
              </w:rPr>
              <w:t>净利润</w:t>
            </w:r>
          </w:p>
        </w:tc>
        <w:tc>
          <w:tcPr>
            <w:tcW w:type="dxa" w:w="3685"/>
          </w:tcPr>
          <w:p>
            <w:pPr>
              <w:spacing w:lineRule="exact" w:line="600"/>
              <w:jc w:val="center"/>
            </w:pPr>
            <w:r/>
            <w:r>
              <w:rPr>
                <w:rFonts w:ascii="仿宋_GB2312" w:hAnsi="仿宋_GB2312" w:eastAsia="仿宋_GB2312"/>
                <w:b w:val="0"/>
                <w:color w:val="000000"/>
                <w:sz w:val="32"/>
              </w:rPr>
              <w:t>未公开披露</w:t>
            </w:r>
          </w:p>
        </w:tc>
        <w:tc>
          <w:tcPr>
            <w:tcW w:type="dxa" w:w="3402"/>
          </w:tcPr>
          <w:p>
            <w:pPr>
              <w:spacing w:lineRule="exact" w:line="600"/>
              <w:jc w:val="center"/>
            </w:pPr>
            <w:r/>
            <w:r>
              <w:rPr>
                <w:rFonts w:ascii="仿宋_GB2312" w:hAnsi="仿宋_GB2312" w:eastAsia="仿宋_GB2312"/>
                <w:b w:val="0"/>
                <w:color w:val="000000"/>
                <w:sz w:val="32"/>
              </w:rPr>
              <w:t>建议尽调核实</w:t>
            </w:r>
          </w:p>
        </w:tc>
      </w:tr>
      <w:tr>
        <w:tc>
          <w:tcPr>
            <w:tcW w:type="dxa" w:w="1984"/>
          </w:tcPr>
          <w:p>
            <w:pPr>
              <w:spacing w:lineRule="exact" w:line="600"/>
              <w:jc w:val="center"/>
            </w:pPr>
            <w:r/>
            <w:r>
              <w:rPr>
                <w:rFonts w:ascii="仿宋_GB2312" w:hAnsi="仿宋_GB2312" w:eastAsia="仿宋_GB2312"/>
                <w:b w:val="0"/>
                <w:color w:val="000000"/>
                <w:sz w:val="32"/>
              </w:rPr>
              <w:t>资产负债率</w:t>
            </w:r>
          </w:p>
        </w:tc>
        <w:tc>
          <w:tcPr>
            <w:tcW w:type="dxa" w:w="3685"/>
          </w:tcPr>
          <w:p>
            <w:pPr>
              <w:spacing w:lineRule="exact" w:line="600"/>
              <w:jc w:val="center"/>
            </w:pPr>
            <w:r/>
            <w:r>
              <w:rPr>
                <w:rFonts w:ascii="仿宋_GB2312" w:hAnsi="仿宋_GB2312" w:eastAsia="仿宋_GB2312"/>
                <w:b w:val="0"/>
                <w:color w:val="000000"/>
                <w:sz w:val="32"/>
              </w:rPr>
              <w:t>未公开披露</w:t>
            </w:r>
          </w:p>
        </w:tc>
        <w:tc>
          <w:tcPr>
            <w:tcW w:type="dxa" w:w="3402"/>
          </w:tcPr>
          <w:p>
            <w:pPr>
              <w:spacing w:lineRule="exact" w:line="600"/>
              <w:jc w:val="center"/>
            </w:pPr>
            <w:r/>
            <w:r>
              <w:rPr>
                <w:rFonts w:ascii="仿宋_GB2312" w:hAnsi="仿宋_GB2312" w:eastAsia="仿宋_GB2312"/>
                <w:b w:val="0"/>
                <w:color w:val="000000"/>
                <w:sz w:val="32"/>
              </w:rPr>
              <w:t>建议关注</w:t>
            </w:r>
          </w:p>
        </w:tc>
      </w:tr>
      <w:tr>
        <w:tc>
          <w:tcPr>
            <w:tcW w:type="dxa" w:w="1984"/>
          </w:tcPr>
          <w:p>
            <w:pPr>
              <w:spacing w:lineRule="exact" w:line="600"/>
              <w:jc w:val="center"/>
            </w:pPr>
            <w:r/>
            <w:r>
              <w:rPr>
                <w:rFonts w:ascii="仿宋_GB2312" w:hAnsi="仿宋_GB2312" w:eastAsia="仿宋_GB2312"/>
                <w:b w:val="0"/>
                <w:color w:val="000000"/>
                <w:sz w:val="32"/>
              </w:rPr>
              <w:t>经营现金流</w:t>
            </w:r>
          </w:p>
        </w:tc>
        <w:tc>
          <w:tcPr>
            <w:tcW w:type="dxa" w:w="3685"/>
          </w:tcPr>
          <w:p>
            <w:pPr>
              <w:spacing w:lineRule="exact" w:line="600"/>
              <w:jc w:val="center"/>
            </w:pPr>
            <w:r/>
            <w:r>
              <w:rPr>
                <w:rFonts w:ascii="仿宋_GB2312" w:hAnsi="仿宋_GB2312" w:eastAsia="仿宋_GB2312"/>
                <w:b w:val="0"/>
                <w:color w:val="000000"/>
                <w:sz w:val="32"/>
              </w:rPr>
              <w:t>未公开披露</w:t>
            </w:r>
          </w:p>
        </w:tc>
        <w:tc>
          <w:tcPr>
            <w:tcW w:type="dxa" w:w="3402"/>
          </w:tcPr>
          <w:p>
            <w:pPr>
              <w:spacing w:lineRule="exact" w:line="600"/>
              <w:jc w:val="center"/>
            </w:pPr>
            <w:r/>
            <w:r>
              <w:rPr>
                <w:rFonts w:ascii="仿宋_GB2312" w:hAnsi="仿宋_GB2312" w:eastAsia="仿宋_GB2312"/>
                <w:b w:val="0"/>
                <w:color w:val="000000"/>
                <w:sz w:val="32"/>
              </w:rPr>
              <w:t>建议尽调核实</w:t>
            </w:r>
          </w:p>
        </w:tc>
      </w:tr>
    </w:tbl>
    <w:p>
      <w:pPr>
        <w:spacing w:lineRule="exact" w:line="600" w:before="120" w:after="120"/>
        <w:ind w:firstLine="420"/>
        <w:jc w:val="left"/>
      </w:pPr>
      <w:r>
        <w:rPr>
          <w:rFonts w:ascii="楷体_GB2312" w:hAnsi="楷体_GB2312" w:eastAsia="楷体_GB2312"/>
          <w:b w:val="0"/>
          <w:color w:val="000000"/>
          <w:sz w:val="32"/>
        </w:rPr>
        <w:t>（二）盈利特征</w:t>
      </w:r>
    </w:p>
    <w:p>
      <w:pPr>
        <w:spacing w:lineRule="exact" w:line="600" w:before="0" w:after="0"/>
        <w:ind w:firstLine="420"/>
        <w:jc w:val="both"/>
      </w:pPr>
      <w:r>
        <w:rPr>
          <w:rFonts w:ascii="仿宋_GB2312" w:hAnsi="仿宋_GB2312" w:eastAsia="仿宋_GB2312"/>
          <w:b w:val="0"/>
          <w:color w:val="000000"/>
          <w:sz w:val="32"/>
        </w:rPr>
        <w:t>土工材料属基建配套，需求与基建投资节奏相关；公司作为"小巨人"与隐形冠军，凭技术资质与重点工程口碑维持较稳盈利，但行业竞争激烈、价格承压。</w:t>
      </w:r>
    </w:p>
    <w:p>
      <w:pPr>
        <w:spacing w:lineRule="exact" w:line="600" w:before="120" w:after="120"/>
        <w:ind w:firstLine="420"/>
        <w:jc w:val="left"/>
      </w:pPr>
      <w:r>
        <w:rPr>
          <w:rFonts w:ascii="黑体" w:hAnsi="黑体" w:eastAsia="黑体"/>
          <w:b w:val="0"/>
          <w:color w:val="000000"/>
          <w:sz w:val="32"/>
        </w:rPr>
        <w:t>四、公司治理、管理与人力的分析</w:t>
      </w:r>
    </w:p>
    <w:p>
      <w:pPr>
        <w:spacing w:lineRule="exact" w:line="600" w:before="0" w:after="0"/>
        <w:ind w:firstLine="420"/>
        <w:jc w:val="both"/>
      </w:pPr>
      <w:r>
        <w:rPr>
          <w:rFonts w:ascii="仿宋_GB2312" w:hAnsi="仿宋_GB2312" w:eastAsia="仿宋_GB2312"/>
          <w:b w:val="0"/>
          <w:color w:val="000000"/>
          <w:sz w:val="32"/>
        </w:rPr>
        <w:t>公司由实际控制人李兴刚领衔，管理团队在土工材料领域经验丰富，与数十家高校及科研院所建立合作，产学研体系较健全。参保300—500人，以生产技工与工程技术人员为主，具备规模化制造与交付能力。</w:t>
      </w:r>
    </w:p>
    <w:p>
      <w:pPr>
        <w:spacing w:lineRule="exact" w:line="600" w:before="120" w:after="120"/>
        <w:ind w:firstLine="420"/>
        <w:jc w:val="left"/>
      </w:pPr>
      <w:r>
        <w:rPr>
          <w:rFonts w:ascii="黑体" w:hAnsi="黑体" w:eastAsia="黑体"/>
          <w:b w:val="0"/>
          <w:color w:val="000000"/>
          <w:sz w:val="32"/>
        </w:rPr>
        <w:t>五、核心竞争力分析</w:t>
      </w:r>
    </w:p>
    <w:tbl>
      <w:tblPr>
        <w:tblStyle w:val="TableGrid"/>
        <w:tblW w:type="auto" w:w="0"/>
        <w:jc w:val="center"/>
        <w:tblLook w:firstColumn="1" w:firstRow="1" w:lastColumn="0" w:lastRow="0" w:noHBand="0" w:noVBand="1" w:val="04A0"/>
      </w:tblPr>
      <w:tblGrid>
        <w:gridCol w:w="4422"/>
        <w:gridCol w:w="4422"/>
      </w:tblGrid>
      <w:tr>
        <w:tc>
          <w:tcPr>
            <w:tcW w:type="dxa" w:w="2268"/>
          </w:tcPr>
          <w:p>
            <w:pPr>
              <w:spacing w:lineRule="exact" w:line="600"/>
              <w:jc w:val="center"/>
            </w:pPr>
            <w:r/>
            <w:r>
              <w:rPr>
                <w:rFonts w:ascii="黑体" w:hAnsi="黑体" w:eastAsia="黑体"/>
                <w:b/>
                <w:color w:val="000000"/>
                <w:sz w:val="32"/>
              </w:rPr>
              <w:t>核心竞争力</w:t>
            </w:r>
          </w:p>
        </w:tc>
        <w:tc>
          <w:tcPr>
            <w:tcW w:type="dxa" w:w="6803"/>
          </w:tcPr>
          <w:p>
            <w:pPr>
              <w:spacing w:lineRule="exact" w:line="600"/>
              <w:jc w:val="center"/>
            </w:pPr>
            <w:r/>
            <w:r>
              <w:rPr>
                <w:rFonts w:ascii="黑体" w:hAnsi="黑体" w:eastAsia="黑体"/>
                <w:b/>
                <w:color w:val="000000"/>
                <w:sz w:val="32"/>
              </w:rPr>
              <w:t>具体表现</w:t>
            </w:r>
          </w:p>
        </w:tc>
      </w:tr>
      <w:tr>
        <w:tc>
          <w:tcPr>
            <w:tcW w:type="dxa" w:w="2268"/>
          </w:tcPr>
          <w:p>
            <w:pPr>
              <w:spacing w:lineRule="exact" w:line="600"/>
              <w:jc w:val="center"/>
            </w:pPr>
            <w:r/>
            <w:r>
              <w:rPr>
                <w:rFonts w:ascii="仿宋_GB2312" w:hAnsi="仿宋_GB2312" w:eastAsia="仿宋_GB2312"/>
                <w:b w:val="0"/>
                <w:color w:val="000000"/>
                <w:sz w:val="32"/>
              </w:rPr>
              <w:t>资质壁垒</w:t>
            </w:r>
          </w:p>
        </w:tc>
        <w:tc>
          <w:tcPr>
            <w:tcW w:type="dxa" w:w="6803"/>
          </w:tcPr>
          <w:p>
            <w:pPr>
              <w:spacing w:lineRule="exact" w:line="600"/>
              <w:jc w:val="center"/>
            </w:pPr>
            <w:r/>
            <w:r>
              <w:rPr>
                <w:rFonts w:ascii="仿宋_GB2312" w:hAnsi="仿宋_GB2312" w:eastAsia="仿宋_GB2312"/>
                <w:b w:val="0"/>
                <w:color w:val="000000"/>
                <w:sz w:val="32"/>
              </w:rPr>
              <w:t>国家级专精特新"小巨人"、瞪羚、隐形冠军</w:t>
            </w:r>
          </w:p>
        </w:tc>
      </w:tr>
      <w:tr>
        <w:tc>
          <w:tcPr>
            <w:tcW w:type="dxa" w:w="2268"/>
          </w:tcPr>
          <w:p>
            <w:pPr>
              <w:spacing w:lineRule="exact" w:line="600"/>
              <w:jc w:val="center"/>
            </w:pPr>
            <w:r/>
            <w:r>
              <w:rPr>
                <w:rFonts w:ascii="仿宋_GB2312" w:hAnsi="仿宋_GB2312" w:eastAsia="仿宋_GB2312"/>
                <w:b w:val="0"/>
                <w:color w:val="000000"/>
                <w:sz w:val="32"/>
              </w:rPr>
              <w:t>工程口碑</w:t>
            </w:r>
          </w:p>
        </w:tc>
        <w:tc>
          <w:tcPr>
            <w:tcW w:type="dxa" w:w="6803"/>
          </w:tcPr>
          <w:p>
            <w:pPr>
              <w:spacing w:lineRule="exact" w:line="600"/>
              <w:jc w:val="center"/>
            </w:pPr>
            <w:r/>
            <w:r>
              <w:rPr>
                <w:rFonts w:ascii="仿宋_GB2312" w:hAnsi="仿宋_GB2312" w:eastAsia="仿宋_GB2312"/>
                <w:b w:val="0"/>
                <w:color w:val="000000"/>
                <w:sz w:val="32"/>
              </w:rPr>
              <w:t>京沪高铁等国家重点工程应用</w:t>
            </w:r>
          </w:p>
        </w:tc>
      </w:tr>
      <w:tr>
        <w:tc>
          <w:tcPr>
            <w:tcW w:type="dxa" w:w="2268"/>
          </w:tcPr>
          <w:p>
            <w:pPr>
              <w:spacing w:lineRule="exact" w:line="600"/>
              <w:jc w:val="center"/>
            </w:pPr>
            <w:r/>
            <w:r>
              <w:rPr>
                <w:rFonts w:ascii="仿宋_GB2312" w:hAnsi="仿宋_GB2312" w:eastAsia="仿宋_GB2312"/>
                <w:b w:val="0"/>
                <w:color w:val="000000"/>
                <w:sz w:val="32"/>
              </w:rPr>
              <w:t>标准话语权</w:t>
            </w:r>
          </w:p>
        </w:tc>
        <w:tc>
          <w:tcPr>
            <w:tcW w:type="dxa" w:w="6803"/>
          </w:tcPr>
          <w:p>
            <w:pPr>
              <w:spacing w:lineRule="exact" w:line="600"/>
              <w:jc w:val="center"/>
            </w:pPr>
            <w:r/>
            <w:r>
              <w:rPr>
                <w:rFonts w:ascii="仿宋_GB2312" w:hAnsi="仿宋_GB2312" w:eastAsia="仿宋_GB2312"/>
                <w:b w:val="0"/>
                <w:color w:val="000000"/>
                <w:sz w:val="32"/>
              </w:rPr>
              <w:t>牵头/参与起草标准16项</w:t>
            </w:r>
          </w:p>
        </w:tc>
      </w:tr>
      <w:tr>
        <w:tc>
          <w:tcPr>
            <w:tcW w:type="dxa" w:w="2268"/>
          </w:tcPr>
          <w:p>
            <w:pPr>
              <w:spacing w:lineRule="exact" w:line="600"/>
              <w:jc w:val="center"/>
            </w:pPr>
            <w:r/>
            <w:r>
              <w:rPr>
                <w:rFonts w:ascii="仿宋_GB2312" w:hAnsi="仿宋_GB2312" w:eastAsia="仿宋_GB2312"/>
                <w:b w:val="0"/>
                <w:color w:val="000000"/>
                <w:sz w:val="32"/>
              </w:rPr>
              <w:t>研发平台</w:t>
            </w:r>
          </w:p>
        </w:tc>
        <w:tc>
          <w:tcPr>
            <w:tcW w:type="dxa" w:w="6803"/>
          </w:tcPr>
          <w:p>
            <w:pPr>
              <w:spacing w:lineRule="exact" w:line="600"/>
              <w:jc w:val="center"/>
            </w:pPr>
            <w:r/>
            <w:r>
              <w:rPr>
                <w:rFonts w:ascii="仿宋_GB2312" w:hAnsi="仿宋_GB2312" w:eastAsia="仿宋_GB2312"/>
                <w:b w:val="0"/>
                <w:color w:val="000000"/>
                <w:sz w:val="32"/>
              </w:rPr>
              <w:t>省企业技术中心、市产业技术研究院</w:t>
            </w:r>
          </w:p>
        </w:tc>
      </w:tr>
      <w:tr>
        <w:tc>
          <w:tcPr>
            <w:tcW w:type="dxa" w:w="2268"/>
          </w:tcPr>
          <w:p>
            <w:pPr>
              <w:spacing w:lineRule="exact" w:line="600"/>
              <w:jc w:val="center"/>
            </w:pPr>
            <w:r/>
            <w:r>
              <w:rPr>
                <w:rFonts w:ascii="仿宋_GB2312" w:hAnsi="仿宋_GB2312" w:eastAsia="仿宋_GB2312"/>
                <w:b w:val="0"/>
                <w:color w:val="000000"/>
                <w:sz w:val="32"/>
              </w:rPr>
              <w:t>出口能力</w:t>
            </w:r>
          </w:p>
        </w:tc>
        <w:tc>
          <w:tcPr>
            <w:tcW w:type="dxa" w:w="6803"/>
          </w:tcPr>
          <w:p>
            <w:pPr>
              <w:spacing w:lineRule="exact" w:line="600"/>
              <w:jc w:val="center"/>
            </w:pPr>
            <w:r/>
            <w:r>
              <w:rPr>
                <w:rFonts w:ascii="仿宋_GB2312" w:hAnsi="仿宋_GB2312" w:eastAsia="仿宋_GB2312"/>
                <w:b w:val="0"/>
                <w:color w:val="000000"/>
                <w:sz w:val="32"/>
              </w:rPr>
              <w:t>产品远销欧美日韩等</w:t>
            </w:r>
          </w:p>
        </w:tc>
      </w:tr>
    </w:tbl>
    <w:p>
      <w:pPr>
        <w:spacing w:lineRule="exact" w:line="600" w:before="120" w:after="120"/>
        <w:ind w:firstLine="420"/>
        <w:jc w:val="left"/>
      </w:pPr>
      <w:r>
        <w:rPr>
          <w:rFonts w:ascii="黑体" w:hAnsi="黑体" w:eastAsia="黑体"/>
          <w:b w:val="0"/>
          <w:color w:val="000000"/>
          <w:sz w:val="32"/>
        </w:rPr>
        <w:t>六、风险分析</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风险类别</w:t>
            </w:r>
          </w:p>
        </w:tc>
        <w:tc>
          <w:tcPr>
            <w:tcW w:type="dxa" w:w="4535"/>
          </w:tcPr>
          <w:p>
            <w:pPr>
              <w:spacing w:lineRule="exact" w:line="600"/>
              <w:jc w:val="center"/>
            </w:pPr>
            <w:r/>
            <w:r>
              <w:rPr>
                <w:rFonts w:ascii="黑体" w:hAnsi="黑体" w:eastAsia="黑体"/>
                <w:b/>
                <w:color w:val="000000"/>
                <w:sz w:val="32"/>
              </w:rPr>
              <w:t>风险描述</w:t>
            </w:r>
          </w:p>
        </w:tc>
        <w:tc>
          <w:tcPr>
            <w:tcW w:type="dxa" w:w="2835"/>
          </w:tcPr>
          <w:p>
            <w:pPr>
              <w:spacing w:lineRule="exact" w:line="600"/>
              <w:jc w:val="center"/>
            </w:pPr>
            <w:r/>
            <w:r>
              <w:rPr>
                <w:rFonts w:ascii="黑体" w:hAnsi="黑体" w:eastAsia="黑体"/>
                <w:b/>
                <w:color w:val="000000"/>
                <w:sz w:val="32"/>
              </w:rPr>
              <w:t>应对</w:t>
            </w:r>
          </w:p>
        </w:tc>
      </w:tr>
      <w:tr>
        <w:tc>
          <w:tcPr>
            <w:tcW w:type="dxa" w:w="1701"/>
          </w:tcPr>
          <w:p>
            <w:pPr>
              <w:spacing w:lineRule="exact" w:line="600"/>
              <w:jc w:val="center"/>
            </w:pPr>
            <w:r/>
            <w:r>
              <w:rPr>
                <w:rFonts w:ascii="仿宋_GB2312" w:hAnsi="仿宋_GB2312" w:eastAsia="仿宋_GB2312"/>
                <w:b w:val="0"/>
                <w:color w:val="000000"/>
                <w:sz w:val="32"/>
              </w:rPr>
              <w:t>基建周期</w:t>
            </w:r>
          </w:p>
        </w:tc>
        <w:tc>
          <w:tcPr>
            <w:tcW w:type="dxa" w:w="4535"/>
          </w:tcPr>
          <w:p>
            <w:pPr>
              <w:spacing w:lineRule="exact" w:line="600"/>
              <w:jc w:val="center"/>
            </w:pPr>
            <w:r/>
            <w:r>
              <w:rPr>
                <w:rFonts w:ascii="仿宋_GB2312" w:hAnsi="仿宋_GB2312" w:eastAsia="仿宋_GB2312"/>
                <w:b w:val="0"/>
                <w:color w:val="000000"/>
                <w:sz w:val="32"/>
              </w:rPr>
              <w:t>需求受基建投资波动</w:t>
            </w:r>
          </w:p>
        </w:tc>
        <w:tc>
          <w:tcPr>
            <w:tcW w:type="dxa" w:w="2835"/>
          </w:tcPr>
          <w:p>
            <w:pPr>
              <w:spacing w:lineRule="exact" w:line="600"/>
              <w:jc w:val="center"/>
            </w:pPr>
            <w:r/>
            <w:r>
              <w:rPr>
                <w:rFonts w:ascii="仿宋_GB2312" w:hAnsi="仿宋_GB2312" w:eastAsia="仿宋_GB2312"/>
                <w:b w:val="0"/>
                <w:color w:val="000000"/>
                <w:sz w:val="32"/>
              </w:rPr>
              <w:t>拓展民建/海外</w:t>
            </w:r>
          </w:p>
        </w:tc>
      </w:tr>
      <w:tr>
        <w:tc>
          <w:tcPr>
            <w:tcW w:type="dxa" w:w="1701"/>
          </w:tcPr>
          <w:p>
            <w:pPr>
              <w:spacing w:lineRule="exact" w:line="600"/>
              <w:jc w:val="center"/>
            </w:pPr>
            <w:r/>
            <w:r>
              <w:rPr>
                <w:rFonts w:ascii="仿宋_GB2312" w:hAnsi="仿宋_GB2312" w:eastAsia="仿宋_GB2312"/>
                <w:b w:val="0"/>
                <w:color w:val="000000"/>
                <w:sz w:val="32"/>
              </w:rPr>
              <w:t>竞争价格</w:t>
            </w:r>
          </w:p>
        </w:tc>
        <w:tc>
          <w:tcPr>
            <w:tcW w:type="dxa" w:w="4535"/>
          </w:tcPr>
          <w:p>
            <w:pPr>
              <w:spacing w:lineRule="exact" w:line="600"/>
              <w:jc w:val="center"/>
            </w:pPr>
            <w:r/>
            <w:r>
              <w:rPr>
                <w:rFonts w:ascii="仿宋_GB2312" w:hAnsi="仿宋_GB2312" w:eastAsia="仿宋_GB2312"/>
                <w:b w:val="0"/>
                <w:color w:val="000000"/>
                <w:sz w:val="32"/>
              </w:rPr>
              <w:t>行业同质化价格战</w:t>
            </w:r>
          </w:p>
        </w:tc>
        <w:tc>
          <w:tcPr>
            <w:tcW w:type="dxa" w:w="2835"/>
          </w:tcPr>
          <w:p>
            <w:pPr>
              <w:spacing w:lineRule="exact" w:line="600"/>
              <w:jc w:val="center"/>
            </w:pPr>
            <w:r/>
            <w:r>
              <w:rPr>
                <w:rFonts w:ascii="仿宋_GB2312" w:hAnsi="仿宋_GB2312" w:eastAsia="仿宋_GB2312"/>
                <w:b w:val="0"/>
                <w:color w:val="000000"/>
                <w:sz w:val="32"/>
              </w:rPr>
              <w:t>高端化差异化</w:t>
            </w:r>
          </w:p>
        </w:tc>
      </w:tr>
      <w:tr>
        <w:tc>
          <w:tcPr>
            <w:tcW w:type="dxa" w:w="1701"/>
          </w:tcPr>
          <w:p>
            <w:pPr>
              <w:spacing w:lineRule="exact" w:line="600"/>
              <w:jc w:val="center"/>
            </w:pPr>
            <w:r/>
            <w:r>
              <w:rPr>
                <w:rFonts w:ascii="仿宋_GB2312" w:hAnsi="仿宋_GB2312" w:eastAsia="仿宋_GB2312"/>
                <w:b w:val="0"/>
                <w:color w:val="000000"/>
                <w:sz w:val="32"/>
              </w:rPr>
              <w:t>财务透明</w:t>
            </w:r>
          </w:p>
        </w:tc>
        <w:tc>
          <w:tcPr>
            <w:tcW w:type="dxa" w:w="4535"/>
          </w:tcPr>
          <w:p>
            <w:pPr>
              <w:spacing w:lineRule="exact" w:line="600"/>
              <w:jc w:val="center"/>
            </w:pPr>
            <w:r/>
            <w:r>
              <w:rPr>
                <w:rFonts w:ascii="仿宋_GB2312" w:hAnsi="仿宋_GB2312" w:eastAsia="仿宋_GB2312"/>
                <w:b w:val="0"/>
                <w:color w:val="000000"/>
                <w:sz w:val="32"/>
              </w:rPr>
              <w:t>非上市披露不足</w:t>
            </w:r>
          </w:p>
        </w:tc>
        <w:tc>
          <w:tcPr>
            <w:tcW w:type="dxa" w:w="2835"/>
          </w:tcPr>
          <w:p>
            <w:pPr>
              <w:spacing w:lineRule="exact" w:line="600"/>
              <w:jc w:val="center"/>
            </w:pPr>
            <w:r/>
            <w:r>
              <w:rPr>
                <w:rFonts w:ascii="仿宋_GB2312" w:hAnsi="仿宋_GB2312" w:eastAsia="仿宋_GB2312"/>
                <w:b w:val="0"/>
                <w:color w:val="000000"/>
                <w:sz w:val="32"/>
              </w:rPr>
              <w:t>尽调核实</w:t>
            </w:r>
          </w:p>
        </w:tc>
      </w:tr>
      <w:tr>
        <w:tc>
          <w:tcPr>
            <w:tcW w:type="dxa" w:w="1701"/>
          </w:tcPr>
          <w:p>
            <w:pPr>
              <w:spacing w:lineRule="exact" w:line="600"/>
              <w:jc w:val="center"/>
            </w:pPr>
            <w:r/>
            <w:r>
              <w:rPr>
                <w:rFonts w:ascii="仿宋_GB2312" w:hAnsi="仿宋_GB2312" w:eastAsia="仿宋_GB2312"/>
                <w:b w:val="0"/>
                <w:color w:val="000000"/>
                <w:sz w:val="32"/>
              </w:rPr>
              <w:t>原材料</w:t>
            </w:r>
          </w:p>
        </w:tc>
        <w:tc>
          <w:tcPr>
            <w:tcW w:type="dxa" w:w="4535"/>
          </w:tcPr>
          <w:p>
            <w:pPr>
              <w:spacing w:lineRule="exact" w:line="600"/>
              <w:jc w:val="center"/>
            </w:pPr>
            <w:r/>
            <w:r>
              <w:rPr>
                <w:rFonts w:ascii="仿宋_GB2312" w:hAnsi="仿宋_GB2312" w:eastAsia="仿宋_GB2312"/>
                <w:b w:val="0"/>
                <w:color w:val="000000"/>
                <w:sz w:val="32"/>
              </w:rPr>
              <w:t>树脂等石化原料价格</w:t>
            </w:r>
          </w:p>
        </w:tc>
        <w:tc>
          <w:tcPr>
            <w:tcW w:type="dxa" w:w="2835"/>
          </w:tcPr>
          <w:p>
            <w:pPr>
              <w:spacing w:lineRule="exact" w:line="600"/>
              <w:jc w:val="center"/>
            </w:pPr>
            <w:r/>
            <w:r>
              <w:rPr>
                <w:rFonts w:ascii="仿宋_GB2312" w:hAnsi="仿宋_GB2312" w:eastAsia="仿宋_GB2312"/>
                <w:b w:val="0"/>
                <w:color w:val="000000"/>
                <w:sz w:val="32"/>
              </w:rPr>
              <w:t>锁价管理</w:t>
            </w:r>
          </w:p>
        </w:tc>
      </w:tr>
    </w:tbl>
    <w:p>
      <w:pPr>
        <w:spacing w:lineRule="exact" w:line="600" w:before="120" w:after="120"/>
        <w:ind w:firstLine="420"/>
        <w:jc w:val="left"/>
      </w:pPr>
      <w:r>
        <w:rPr>
          <w:rFonts w:ascii="黑体" w:hAnsi="黑体" w:eastAsia="黑体"/>
          <w:b w:val="0"/>
          <w:color w:val="000000"/>
          <w:sz w:val="32"/>
        </w:rPr>
        <w:t>七、融资需求分析</w:t>
      </w:r>
    </w:p>
    <w:p>
      <w:pPr>
        <w:spacing w:lineRule="exact" w:line="600" w:before="120" w:after="120"/>
        <w:ind w:firstLine="420"/>
        <w:jc w:val="left"/>
      </w:pPr>
      <w:r>
        <w:rPr>
          <w:rFonts w:ascii="楷体_GB2312" w:hAnsi="楷体_GB2312" w:eastAsia="楷体_GB2312"/>
          <w:b w:val="0"/>
          <w:color w:val="000000"/>
          <w:sz w:val="32"/>
        </w:rPr>
        <w:t>（一）商业保理</w:t>
      </w:r>
    </w:p>
    <w:p>
      <w:pPr>
        <w:spacing w:lineRule="exact" w:line="600" w:before="0" w:after="0"/>
        <w:ind w:firstLine="420"/>
        <w:jc w:val="both"/>
      </w:pPr>
      <w:r>
        <w:rPr>
          <w:rFonts w:ascii="仿宋_GB2312" w:hAnsi="仿宋_GB2312" w:eastAsia="仿宋_GB2312"/>
          <w:b w:val="0"/>
          <w:color w:val="000000"/>
          <w:sz w:val="32"/>
        </w:rPr>
        <w:t>工程回款周期长，可探索应收账款保理加速周转。</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依托集群与重点工程订单，可开展供应链融资。</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挤出、焊接等生产设备适合融资租赁。</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可作短期周转补充，优先银行授信。</w:t>
      </w:r>
    </w:p>
    <w:p>
      <w:pPr>
        <w:spacing w:lineRule="exact" w:line="600" w:before="120" w:after="120"/>
        <w:ind w:firstLine="420"/>
        <w:jc w:val="left"/>
      </w:pPr>
      <w:r>
        <w:rPr>
          <w:rFonts w:ascii="黑体" w:hAnsi="黑体" w:eastAsia="黑体"/>
          <w:b w:val="0"/>
          <w:color w:val="000000"/>
          <w:sz w:val="32"/>
        </w:rPr>
        <w:t>八、综合评价、展望与建议</w:t>
      </w:r>
    </w:p>
    <w:p>
      <w:pPr>
        <w:spacing w:lineRule="exact" w:line="600" w:before="0" w:after="0"/>
        <w:ind w:firstLine="420"/>
        <w:jc w:val="both"/>
      </w:pPr>
      <w:r>
        <w:rPr>
          <w:rFonts w:ascii="仿宋_GB2312" w:hAnsi="仿宋_GB2312" w:eastAsia="仿宋_GB2312"/>
          <w:b w:val="0"/>
          <w:color w:val="000000"/>
          <w:sz w:val="32"/>
        </w:rPr>
        <w:t>山东润德复合材料有限公司是岱岳区玻纤复合材料集群的隐形冠军与"小巨人"企业，在土工格栅等基建加固材料领域技术资质与工程口碑突出，出口与标准话语权构成差异化优势。</w:t>
      </w:r>
    </w:p>
    <w:p>
      <w:pPr>
        <w:spacing w:lineRule="exact" w:line="600" w:before="0" w:after="0"/>
        <w:ind w:firstLine="420"/>
        <w:jc w:val="both"/>
      </w:pPr>
      <w:r>
        <w:rPr>
          <w:rFonts w:ascii="仿宋_GB2312" w:hAnsi="仿宋_GB2312" w:eastAsia="仿宋_GB2312"/>
          <w:b w:val="0"/>
          <w:color w:val="000000"/>
          <w:sz w:val="32"/>
        </w:rPr>
        <w:t>展望：随着交通、水利等基建及"出海"需求延续，公司有望稳健增长。建议投资方以"股权+产业金融"组合介入，重点核查真实营收、负债与重大工程应收账款质量，关注其向高附加值复合材料拓展的进度。</w:t>
      </w:r>
    </w:p>
    <w:p>
      <w:pPr>
        <w:spacing w:lineRule="exact" w:line="600" w:before="0" w:after="0"/>
        <w:jc w:val="left"/>
      </w:pPr>
      <w:r>
        <w:rPr>
          <w:rFonts w:ascii="仿宋_GB2312" w:hAnsi="仿宋_GB2312" w:eastAsia="仿宋_GB2312"/>
          <w:b w:val="0"/>
          <w:color w:val="000000"/>
          <w:sz w:val="28"/>
        </w:rPr>
        <w:t>数据来源说明：本报告数据来源于国家企业信用信息公示系统/公开工商信息、山东润德复合材料有限公司官网、天眼查及供应商平台公开资料、岱岳区公开报道。财务数据为平台非审计口径或未公开，已如实标注。相关信息以企业正式披露及尽职调查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