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山东泰安岱岳区(玻璃纤维新材料)特色产业集群</w:t>
      </w:r>
    </w:p>
    <w:p>
      <w:pPr>
        <w:spacing w:lineRule="exact" w:line="600" w:before="240" w:after="240"/>
        <w:ind w:firstLine="0"/>
        <w:jc w:val="center"/>
      </w:pPr>
      <w:r>
        <w:rPr>
          <w:rFonts w:ascii="方正小标宋简体" w:hAnsi="方正小标宋简体" w:eastAsia="方正小标宋简体"/>
          <w:b w:val="0"/>
          <w:color w:val="000000"/>
          <w:sz w:val="44"/>
        </w:rPr>
        <w:t>山东盈九新能源科技有限公司企业分析报告</w:t>
      </w:r>
    </w:p>
    <w:p>
      <w:pPr>
        <w:spacing w:lineRule="exact" w:line="600" w:before="0" w:after="0"/>
        <w:jc w:val="left"/>
      </w:pPr>
      <w:r>
        <w:rPr>
          <w:rFonts w:ascii="仿宋_GB2312" w:hAnsi="仿宋_GB2312" w:eastAsia="仿宋_GB2312"/>
          <w:b w:val="0"/>
          <w:color w:val="000000"/>
          <w:sz w:val="28"/>
        </w:rPr>
        <w:t>（本报告依据公开工商信息、天眼查/爱企查/启信宝等公开企业信息及岱岳区公开报道编写，用于产业投资参考。需提示：公开信息显示该公司司法及涉诉风险信号较多，投资须审慎。非上市公司财务数据未公开披露，均如实标注。数据来源见文末。）</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（一）工商基本信息</w:t>
      </w:r>
    </w:p>
    <w:p>
      <w:pPr>
        <w:spacing w:lineRule="exact" w:line="600" w:before="0" w:after="0"/>
        <w:ind w:firstLine="420"/>
        <w:jc w:val="both"/>
      </w:pPr>
      <w:r>
        <w:rPr>
          <w:rFonts w:ascii="仿宋_GB2312" w:hAnsi="仿宋_GB2312" w:eastAsia="仿宋_GB2312"/>
          <w:b w:val="0"/>
          <w:color w:val="000000"/>
          <w:sz w:val="32"/>
        </w:rPr>
        <w:t>山东盈九新能源科技有限公司成立于2015年6月10日，法定代表人为刁学芹，注册资本1,000万元人民币（实缴1,000万元），注册地位于山东省泰安市岱岳区满庄镇送马路联合绿色建材产业集聚区B1，系上海盈九新材料（集团）有限公司全资子公司，参保人数约124人，为岱岳区玻纤新材料产业集群三大龙头之一（与泰山玻纤、润德复合并列）。</w:t>
      </w:r>
    </w:p>
    <w:tbl>
      <w:tblPr>
        <w:tblStyle w:val="TableGrid"/>
        <w:tblW w:type="auto" w:w="0"/>
        <w:jc w:val="center"/>
        <w:tblLook w:firstColumn="1" w:firstRow="1" w:lastColumn="0" w:lastRow="0" w:noHBand="0" w:noVBand="1" w:val="04A0"/>
      </w:tblPr>
      <w:tblGrid>
        <w:gridCol w:w="4422"/>
        <w:gridCol w:w="4422"/>
      </w:tblGrid>
      <w:tr>
        <w:tc>
          <w:tcPr>
            <w:tcW w:type="dxa" w:w="2268"/>
          </w:tcPr>
          <w:p>
            <w:pPr>
              <w:spacing w:lineRule="exact" w:line="600"/>
              <w:jc w:val="center"/>
            </w:pPr>
            <w:r/>
            <w:r>
              <w:rPr>
                <w:rFonts w:ascii="黑体" w:hAnsi="黑体" w:eastAsia="黑体"/>
                <w:b/>
                <w:color w:val="000000"/>
                <w:sz w:val="32"/>
              </w:rPr>
              <w:t>项目</w:t>
            </w:r>
          </w:p>
        </w:tc>
        <w:tc>
          <w:tcPr>
            <w:tcW w:type="dxa" w:w="6803"/>
          </w:tcPr>
          <w:p>
            <w:pPr>
              <w:spacing w:lineRule="exact" w:line="600"/>
              <w:jc w:val="center"/>
            </w:pPr>
            <w:r/>
            <w:r>
              <w:rPr>
                <w:rFonts w:ascii="黑体" w:hAnsi="黑体" w:eastAsia="黑体"/>
                <w:b/>
                <w:color w:val="000000"/>
                <w:sz w:val="32"/>
              </w:rPr>
              <w:t>内容</w:t>
            </w:r>
          </w:p>
        </w:tc>
      </w:tr>
      <w:tr>
        <w:tc>
          <w:tcPr>
            <w:tcW w:type="dxa" w:w="2268"/>
          </w:tcPr>
          <w:p>
            <w:pPr>
              <w:spacing w:lineRule="exact" w:line="600"/>
              <w:jc w:val="center"/>
            </w:pPr>
            <w:r/>
            <w:r>
              <w:rPr>
                <w:rFonts w:ascii="仿宋_GB2312" w:hAnsi="仿宋_GB2312" w:eastAsia="仿宋_GB2312"/>
                <w:b w:val="0"/>
                <w:color w:val="000000"/>
                <w:sz w:val="32"/>
              </w:rPr>
              <w:t>企业名称</w:t>
            </w:r>
          </w:p>
        </w:tc>
        <w:tc>
          <w:tcPr>
            <w:tcW w:type="dxa" w:w="6803"/>
          </w:tcPr>
          <w:p>
            <w:pPr>
              <w:spacing w:lineRule="exact" w:line="600"/>
              <w:jc w:val="center"/>
            </w:pPr>
            <w:r/>
            <w:r>
              <w:rPr>
                <w:rFonts w:ascii="仿宋_GB2312" w:hAnsi="仿宋_GB2312" w:eastAsia="仿宋_GB2312"/>
                <w:b w:val="0"/>
                <w:color w:val="000000"/>
                <w:sz w:val="32"/>
              </w:rPr>
              <w:t>山东盈九新能源科技有限公司</w:t>
            </w:r>
          </w:p>
        </w:tc>
      </w:tr>
      <w:tr>
        <w:tc>
          <w:tcPr>
            <w:tcW w:type="dxa" w:w="2268"/>
          </w:tcPr>
          <w:p>
            <w:pPr>
              <w:spacing w:lineRule="exact" w:line="600"/>
              <w:jc w:val="center"/>
            </w:pPr>
            <w:r/>
            <w:r>
              <w:rPr>
                <w:rFonts w:ascii="仿宋_GB2312" w:hAnsi="仿宋_GB2312" w:eastAsia="仿宋_GB2312"/>
                <w:b w:val="0"/>
                <w:color w:val="000000"/>
                <w:sz w:val="32"/>
              </w:rPr>
              <w:t>成立日期</w:t>
            </w:r>
          </w:p>
        </w:tc>
        <w:tc>
          <w:tcPr>
            <w:tcW w:type="dxa" w:w="6803"/>
          </w:tcPr>
          <w:p>
            <w:pPr>
              <w:spacing w:lineRule="exact" w:line="600"/>
              <w:jc w:val="center"/>
            </w:pPr>
            <w:r/>
            <w:r>
              <w:rPr>
                <w:rFonts w:ascii="仿宋_GB2312" w:hAnsi="仿宋_GB2312" w:eastAsia="仿宋_GB2312"/>
                <w:b w:val="0"/>
                <w:color w:val="000000"/>
                <w:sz w:val="32"/>
              </w:rPr>
              <w:t>2015-06-10</w:t>
            </w:r>
          </w:p>
        </w:tc>
      </w:tr>
      <w:tr>
        <w:tc>
          <w:tcPr>
            <w:tcW w:type="dxa" w:w="2268"/>
          </w:tcPr>
          <w:p>
            <w:pPr>
              <w:spacing w:lineRule="exact" w:line="600"/>
              <w:jc w:val="center"/>
            </w:pPr>
            <w:r/>
            <w:r>
              <w:rPr>
                <w:rFonts w:ascii="仿宋_GB2312" w:hAnsi="仿宋_GB2312" w:eastAsia="仿宋_GB2312"/>
                <w:b w:val="0"/>
                <w:color w:val="000000"/>
                <w:sz w:val="32"/>
              </w:rPr>
              <w:t>法定代表人</w:t>
            </w:r>
          </w:p>
        </w:tc>
        <w:tc>
          <w:tcPr>
            <w:tcW w:type="dxa" w:w="6803"/>
          </w:tcPr>
          <w:p>
            <w:pPr>
              <w:spacing w:lineRule="exact" w:line="600"/>
              <w:jc w:val="center"/>
            </w:pPr>
            <w:r/>
            <w:r>
              <w:rPr>
                <w:rFonts w:ascii="仿宋_GB2312" w:hAnsi="仿宋_GB2312" w:eastAsia="仿宋_GB2312"/>
                <w:b w:val="0"/>
                <w:color w:val="000000"/>
                <w:sz w:val="32"/>
              </w:rPr>
              <w:t>刁学芹</w:t>
            </w:r>
          </w:p>
        </w:tc>
      </w:tr>
      <w:tr>
        <w:tc>
          <w:tcPr>
            <w:tcW w:type="dxa" w:w="2268"/>
          </w:tcPr>
          <w:p>
            <w:pPr>
              <w:spacing w:lineRule="exact" w:line="600"/>
              <w:jc w:val="center"/>
            </w:pPr>
            <w:r/>
            <w:r>
              <w:rPr>
                <w:rFonts w:ascii="仿宋_GB2312" w:hAnsi="仿宋_GB2312" w:eastAsia="仿宋_GB2312"/>
                <w:b w:val="0"/>
                <w:color w:val="000000"/>
                <w:sz w:val="32"/>
              </w:rPr>
              <w:t>注册资本</w:t>
            </w:r>
          </w:p>
        </w:tc>
        <w:tc>
          <w:tcPr>
            <w:tcW w:type="dxa" w:w="6803"/>
          </w:tcPr>
          <w:p>
            <w:pPr>
              <w:spacing w:lineRule="exact" w:line="600"/>
              <w:jc w:val="center"/>
            </w:pPr>
            <w:r/>
            <w:r>
              <w:rPr>
                <w:rFonts w:ascii="仿宋_GB2312" w:hAnsi="仿宋_GB2312" w:eastAsia="仿宋_GB2312"/>
                <w:b w:val="0"/>
                <w:color w:val="000000"/>
                <w:sz w:val="32"/>
              </w:rPr>
              <w:t>1,000万元人民币（实缴1,000万）</w:t>
            </w:r>
          </w:p>
        </w:tc>
      </w:tr>
      <w:tr>
        <w:tc>
          <w:tcPr>
            <w:tcW w:type="dxa" w:w="2268"/>
          </w:tcPr>
          <w:p>
            <w:pPr>
              <w:spacing w:lineRule="exact" w:line="600"/>
              <w:jc w:val="center"/>
            </w:pPr>
            <w:r/>
            <w:r>
              <w:rPr>
                <w:rFonts w:ascii="仿宋_GB2312" w:hAnsi="仿宋_GB2312" w:eastAsia="仿宋_GB2312"/>
                <w:b w:val="0"/>
                <w:color w:val="000000"/>
                <w:sz w:val="32"/>
              </w:rPr>
              <w:t>参保人数</w:t>
            </w:r>
          </w:p>
        </w:tc>
        <w:tc>
          <w:tcPr>
            <w:tcW w:type="dxa" w:w="6803"/>
          </w:tcPr>
          <w:p>
            <w:pPr>
              <w:spacing w:lineRule="exact" w:line="600"/>
              <w:jc w:val="center"/>
            </w:pPr>
            <w:r/>
            <w:r>
              <w:rPr>
                <w:rFonts w:ascii="仿宋_GB2312" w:hAnsi="仿宋_GB2312" w:eastAsia="仿宋_GB2312"/>
                <w:b w:val="0"/>
                <w:color w:val="000000"/>
                <w:sz w:val="32"/>
              </w:rPr>
              <w:t>约124人</w:t>
            </w:r>
          </w:p>
        </w:tc>
      </w:tr>
      <w:tr>
        <w:tc>
          <w:tcPr>
            <w:tcW w:type="dxa" w:w="2268"/>
          </w:tcPr>
          <w:p>
            <w:pPr>
              <w:spacing w:lineRule="exact" w:line="600"/>
              <w:jc w:val="center"/>
            </w:pPr>
            <w:r/>
            <w:r>
              <w:rPr>
                <w:rFonts w:ascii="仿宋_GB2312" w:hAnsi="仿宋_GB2312" w:eastAsia="仿宋_GB2312"/>
                <w:b w:val="0"/>
                <w:color w:val="000000"/>
                <w:sz w:val="32"/>
              </w:rPr>
              <w:t>注册地</w:t>
            </w:r>
          </w:p>
        </w:tc>
        <w:tc>
          <w:tcPr>
            <w:tcW w:type="dxa" w:w="6803"/>
          </w:tcPr>
          <w:p>
            <w:pPr>
              <w:spacing w:lineRule="exact" w:line="600"/>
              <w:jc w:val="center"/>
            </w:pPr>
            <w:r/>
            <w:r>
              <w:rPr>
                <w:rFonts w:ascii="仿宋_GB2312" w:hAnsi="仿宋_GB2312" w:eastAsia="仿宋_GB2312"/>
                <w:b w:val="0"/>
                <w:color w:val="000000"/>
                <w:sz w:val="32"/>
              </w:rPr>
              <w:t>泰安市岱岳区满庄镇联合绿色建材产业集聚区B1</w:t>
            </w:r>
          </w:p>
        </w:tc>
      </w:tr>
      <w:tr>
        <w:tc>
          <w:tcPr>
            <w:tcW w:type="dxa" w:w="2268"/>
          </w:tcPr>
          <w:p>
            <w:pPr>
              <w:spacing w:lineRule="exact" w:line="600"/>
              <w:jc w:val="center"/>
            </w:pPr>
            <w:r/>
            <w:r>
              <w:rPr>
                <w:rFonts w:ascii="仿宋_GB2312" w:hAnsi="仿宋_GB2312" w:eastAsia="仿宋_GB2312"/>
                <w:b w:val="0"/>
                <w:color w:val="000000"/>
                <w:sz w:val="32"/>
              </w:rPr>
              <w:t>行业分类</w:t>
            </w:r>
          </w:p>
        </w:tc>
        <w:tc>
          <w:tcPr>
            <w:tcW w:type="dxa" w:w="6803"/>
          </w:tcPr>
          <w:p>
            <w:pPr>
              <w:spacing w:lineRule="exact" w:line="600"/>
              <w:jc w:val="center"/>
            </w:pPr>
            <w:r/>
            <w:r>
              <w:rPr>
                <w:rFonts w:ascii="仿宋_GB2312" w:hAnsi="仿宋_GB2312" w:eastAsia="仿宋_GB2312"/>
                <w:b w:val="0"/>
                <w:color w:val="000000"/>
                <w:sz w:val="32"/>
              </w:rPr>
              <w:t>合成材料/高性能纤维及复合材料</w:t>
            </w:r>
          </w:p>
        </w:tc>
      </w:tr>
      <w:tr>
        <w:tc>
          <w:tcPr>
            <w:tcW w:type="dxa" w:w="2268"/>
          </w:tcPr>
          <w:p>
            <w:pPr>
              <w:spacing w:lineRule="exact" w:line="600"/>
              <w:jc w:val="center"/>
            </w:pPr>
            <w:r/>
            <w:r>
              <w:rPr>
                <w:rFonts w:ascii="仿宋_GB2312" w:hAnsi="仿宋_GB2312" w:eastAsia="仿宋_GB2312"/>
                <w:b w:val="0"/>
                <w:color w:val="000000"/>
                <w:sz w:val="32"/>
              </w:rPr>
              <w:t>企业性质</w:t>
            </w:r>
          </w:p>
        </w:tc>
        <w:tc>
          <w:tcPr>
            <w:tcW w:type="dxa" w:w="6803"/>
          </w:tcPr>
          <w:p>
            <w:pPr>
              <w:spacing w:lineRule="exact" w:line="600"/>
              <w:jc w:val="center"/>
            </w:pPr>
            <w:r/>
            <w:r>
              <w:rPr>
                <w:rFonts w:ascii="仿宋_GB2312" w:hAnsi="仿宋_GB2312" w:eastAsia="仿宋_GB2312"/>
                <w:b w:val="0"/>
                <w:color w:val="000000"/>
                <w:sz w:val="32"/>
              </w:rPr>
              <w:t>民营（法人独资，上海盈九新材料集团100%）</w:t>
            </w:r>
          </w:p>
        </w:tc>
      </w:tr>
    </w:tbl>
    <w:p>
      <w:pPr>
        <w:spacing w:lineRule="exact" w:line="600" w:before="120" w:after="120"/>
        <w:ind w:firstLine="420"/>
        <w:jc w:val="left"/>
      </w:pPr>
      <w:r>
        <w:rPr>
          <w:rFonts w:ascii="楷体_GB2312" w:hAnsi="楷体_GB2312" w:eastAsia="楷体_GB2312"/>
          <w:b w:val="0"/>
          <w:color w:val="000000"/>
          <w:sz w:val="32"/>
        </w:rPr>
        <w:t>（二）组织架构与股权结构</w:t>
      </w:r>
    </w:p>
    <w:p>
      <w:pPr>
        <w:spacing w:lineRule="exact" w:line="600" w:before="0" w:after="0"/>
        <w:ind w:firstLine="420"/>
        <w:jc w:val="both"/>
      </w:pPr>
      <w:r>
        <w:rPr>
          <w:rFonts w:ascii="仿宋_GB2312" w:hAnsi="仿宋_GB2312" w:eastAsia="仿宋_GB2312"/>
          <w:b w:val="0"/>
          <w:color w:val="000000"/>
          <w:sz w:val="32"/>
        </w:rPr>
        <w:t>公司为上海盈九新材料（集团）有限公司100%持股的法人独资企业，疑似实控人为张旭鹏（持股平台），属集团化民营架构。集团成员企业15家，存在一定内部协同但也需关注关联资金往来。</w:t>
      </w:r>
    </w:p>
    <w:p>
      <w:pPr>
        <w:spacing w:lineRule="exact" w:line="600" w:before="120" w:after="120"/>
        <w:ind w:firstLine="420"/>
        <w:jc w:val="left"/>
      </w:pPr>
      <w:r>
        <w:rPr>
          <w:rFonts w:ascii="楷体_GB2312" w:hAnsi="楷体_GB2312" w:eastAsia="楷体_GB2312"/>
          <w:b w:val="0"/>
          <w:color w:val="000000"/>
          <w:sz w:val="32"/>
        </w:rPr>
        <w:t>（三）业务定位</w:t>
      </w:r>
    </w:p>
    <w:p>
      <w:pPr>
        <w:spacing w:lineRule="exact" w:line="600" w:before="0" w:after="0"/>
        <w:ind w:firstLine="420"/>
        <w:jc w:val="both"/>
      </w:pPr>
      <w:r>
        <w:rPr>
          <w:rFonts w:ascii="仿宋_GB2312" w:hAnsi="仿宋_GB2312" w:eastAsia="仿宋_GB2312"/>
          <w:b w:val="0"/>
          <w:color w:val="000000"/>
          <w:sz w:val="32"/>
        </w:rPr>
        <w:t>公司经营范围涵盖隔热和隔音材料、新兴能源技术研发、高性能纤维及复合材料制造、玻纤制品、树脂产品等，主营复合材料、玻纤制品及绿色建材，契合岱岳区玻纤集群方向。</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（一）主营业务与产品</w:t>
      </w:r>
    </w:p>
    <w:p>
      <w:pPr>
        <w:spacing w:lineRule="exact" w:line="600" w:before="0" w:after="0"/>
        <w:ind w:firstLine="420"/>
        <w:jc w:val="both"/>
      </w:pPr>
      <w:r>
        <w:rPr>
          <w:rFonts w:ascii="仿宋_GB2312" w:hAnsi="仿宋_GB2312" w:eastAsia="仿宋_GB2312"/>
          <w:b w:val="0"/>
          <w:color w:val="000000"/>
          <w:sz w:val="32"/>
        </w:rPr>
        <w:t>主营高性能纤维及复合材料、玻纤制品、隔热隔音材料及新能源相关材料，产品应用于绿色建材、复合材料构件等场景。</w:t>
      </w:r>
    </w:p>
    <w:p>
      <w:pPr>
        <w:spacing w:lineRule="exact" w:line="600" w:before="120" w:after="120"/>
        <w:ind w:firstLine="420"/>
        <w:jc w:val="left"/>
      </w:pPr>
      <w:r>
        <w:rPr>
          <w:rFonts w:ascii="楷体_GB2312" w:hAnsi="楷体_GB2312" w:eastAsia="楷体_GB2312"/>
          <w:b w:val="0"/>
          <w:color w:val="000000"/>
          <w:sz w:val="32"/>
        </w:rPr>
        <w:t>（二）市场与客户</w:t>
      </w:r>
    </w:p>
    <w:p>
      <w:pPr>
        <w:spacing w:lineRule="exact" w:line="600" w:before="0" w:after="0"/>
        <w:ind w:firstLine="420"/>
        <w:jc w:val="both"/>
      </w:pPr>
      <w:r>
        <w:rPr>
          <w:rFonts w:ascii="仿宋_GB2312" w:hAnsi="仿宋_GB2312" w:eastAsia="仿宋_GB2312"/>
          <w:b w:val="0"/>
          <w:color w:val="000000"/>
          <w:sz w:val="32"/>
        </w:rPr>
        <w:t>作为岱岳区玻纤集群三大龙头之一，依托集聚区配套与集团渠道开展业务；公开可查证的具体客户与营收数据有限。</w:t>
      </w:r>
    </w:p>
    <w:p>
      <w:pPr>
        <w:spacing w:lineRule="exact" w:line="600" w:before="120" w:after="120"/>
        <w:ind w:firstLine="420"/>
        <w:jc w:val="left"/>
      </w:pPr>
      <w:r>
        <w:rPr>
          <w:rFonts w:ascii="楷体_GB2312" w:hAnsi="楷体_GB2312" w:eastAsia="楷体_GB2312"/>
          <w:b w:val="0"/>
          <w:color w:val="000000"/>
          <w:sz w:val="32"/>
        </w:rPr>
        <w:t>（三）技术与资质</w:t>
      </w:r>
    </w:p>
    <w:p>
      <w:pPr>
        <w:spacing w:lineRule="exact" w:line="600" w:before="0" w:after="0"/>
        <w:ind w:firstLine="420"/>
        <w:jc w:val="both"/>
      </w:pPr>
      <w:r>
        <w:rPr>
          <w:rFonts w:ascii="仿宋_GB2312" w:hAnsi="仿宋_GB2312" w:eastAsia="仿宋_GB2312"/>
          <w:b w:val="0"/>
          <w:color w:val="000000"/>
          <w:sz w:val="32"/>
        </w:rPr>
        <w:t>公司获评2022年省级专精特新中小企业、高新技术企业（2023）、瞪羚企业（2024）、创新型中小企业、市级企业技术中心；拥有专利约41—43项、软件著作权约13项，具备一定研发积累。</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（一）财务数据说明</w:t>
      </w:r>
    </w:p>
    <w:p>
      <w:pPr>
        <w:spacing w:lineRule="exact" w:line="600" w:before="0" w:after="0"/>
        <w:ind w:firstLine="420"/>
        <w:jc w:val="both"/>
      </w:pPr>
      <w:r>
        <w:rPr>
          <w:rFonts w:ascii="仿宋_GB2312" w:hAnsi="仿宋_GB2312" w:eastAsia="仿宋_GB2312"/>
          <w:b w:val="0"/>
          <w:color w:val="000000"/>
          <w:sz w:val="32"/>
        </w:rPr>
        <w:t>公司为非上市民营法人独资企业，未公开披露经审计财报，财务数据如实标注。</w:t>
      </w:r>
    </w:p>
    <w:tbl>
      <w:tblPr>
        <w:tblStyle w:val="TableGrid"/>
        <w:tblW w:type="auto" w:w="0"/>
        <w:jc w:val="center"/>
        <w:tblLook w:firstColumn="1" w:firstRow="1" w:lastColumn="0" w:lastRow="0" w:noHBand="0" w:noVBand="1" w:val="04A0"/>
      </w:tblPr>
      <w:tblGrid>
        <w:gridCol w:w="2948"/>
        <w:gridCol w:w="2948"/>
        <w:gridCol w:w="2948"/>
      </w:tblGrid>
      <w:tr>
        <w:tc>
          <w:tcPr>
            <w:tcW w:type="dxa" w:w="1984"/>
          </w:tcPr>
          <w:p>
            <w:pPr>
              <w:spacing w:lineRule="exact" w:line="600"/>
              <w:jc w:val="center"/>
            </w:pPr>
            <w:r/>
            <w:r>
              <w:rPr>
                <w:rFonts w:ascii="黑体" w:hAnsi="黑体" w:eastAsia="黑体"/>
                <w:b/>
                <w:color w:val="000000"/>
                <w:sz w:val="32"/>
              </w:rPr>
              <w:t>指标</w:t>
            </w:r>
          </w:p>
        </w:tc>
        <w:tc>
          <w:tcPr>
            <w:tcW w:type="dxa" w:w="3685"/>
          </w:tcPr>
          <w:p>
            <w:pPr>
              <w:spacing w:lineRule="exact" w:line="600"/>
              <w:jc w:val="center"/>
            </w:pPr>
            <w:r/>
            <w:r>
              <w:rPr>
                <w:rFonts w:ascii="黑体" w:hAnsi="黑体" w:eastAsia="黑体"/>
                <w:b/>
                <w:color w:val="000000"/>
                <w:sz w:val="32"/>
              </w:rPr>
              <w:t>情况</w:t>
            </w:r>
          </w:p>
        </w:tc>
        <w:tc>
          <w:tcPr>
            <w:tcW w:type="dxa" w:w="3402"/>
          </w:tcPr>
          <w:p>
            <w:pPr>
              <w:spacing w:lineRule="exact" w:line="600"/>
              <w:jc w:val="center"/>
            </w:pPr>
            <w:r/>
            <w:r>
              <w:rPr>
                <w:rFonts w:ascii="黑体" w:hAnsi="黑体" w:eastAsia="黑体"/>
                <w:b/>
                <w:color w:val="000000"/>
                <w:sz w:val="32"/>
              </w:rPr>
              <w:t>说明</w:t>
            </w:r>
          </w:p>
        </w:tc>
      </w:tr>
      <w:tr>
        <w:tc>
          <w:tcPr>
            <w:tcW w:type="dxa" w:w="1984"/>
          </w:tcPr>
          <w:p>
            <w:pPr>
              <w:spacing w:lineRule="exact" w:line="600"/>
              <w:jc w:val="center"/>
            </w:pPr>
            <w:r/>
            <w:r>
              <w:rPr>
                <w:rFonts w:ascii="仿宋_GB2312" w:hAnsi="仿宋_GB2312" w:eastAsia="仿宋_GB2312"/>
                <w:b w:val="0"/>
                <w:color w:val="000000"/>
                <w:sz w:val="32"/>
              </w:rPr>
              <w:t>营业收入</w:t>
            </w:r>
          </w:p>
        </w:tc>
        <w:tc>
          <w:tcPr>
            <w:tcW w:type="dxa" w:w="3685"/>
          </w:tcPr>
          <w:p>
            <w:pPr>
              <w:spacing w:lineRule="exact" w:line="600"/>
              <w:jc w:val="center"/>
            </w:pPr>
            <w:r/>
            <w:r>
              <w:rPr>
                <w:rFonts w:ascii="仿宋_GB2312" w:hAnsi="仿宋_GB2312" w:eastAsia="仿宋_GB2312"/>
                <w:b w:val="0"/>
                <w:color w:val="000000"/>
                <w:sz w:val="32"/>
              </w:rPr>
              <w:t>未公开披露</w:t>
            </w:r>
          </w:p>
        </w:tc>
        <w:tc>
          <w:tcPr>
            <w:tcW w:type="dxa" w:w="3402"/>
          </w:tcPr>
          <w:p>
            <w:pPr>
              <w:spacing w:lineRule="exact" w:line="600"/>
              <w:jc w:val="center"/>
            </w:pPr>
            <w:r/>
            <w:r>
              <w:rPr>
                <w:rFonts w:ascii="仿宋_GB2312" w:hAnsi="仿宋_GB2312" w:eastAsia="仿宋_GB2312"/>
                <w:b w:val="0"/>
                <w:color w:val="000000"/>
                <w:sz w:val="32"/>
              </w:rPr>
              <w:t>建议关注尽调</w:t>
            </w:r>
          </w:p>
        </w:tc>
      </w:tr>
      <w:tr>
        <w:tc>
          <w:tcPr>
            <w:tcW w:type="dxa" w:w="1984"/>
          </w:tcPr>
          <w:p>
            <w:pPr>
              <w:spacing w:lineRule="exact" w:line="600"/>
              <w:jc w:val="center"/>
            </w:pPr>
            <w:r/>
            <w:r>
              <w:rPr>
                <w:rFonts w:ascii="仿宋_GB2312" w:hAnsi="仿宋_GB2312" w:eastAsia="仿宋_GB2312"/>
                <w:b w:val="0"/>
                <w:color w:val="000000"/>
                <w:sz w:val="32"/>
              </w:rPr>
              <w:t>净利润</w:t>
            </w:r>
          </w:p>
        </w:tc>
        <w:tc>
          <w:tcPr>
            <w:tcW w:type="dxa" w:w="3685"/>
          </w:tcPr>
          <w:p>
            <w:pPr>
              <w:spacing w:lineRule="exact" w:line="600"/>
              <w:jc w:val="center"/>
            </w:pPr>
            <w:r/>
            <w:r>
              <w:rPr>
                <w:rFonts w:ascii="仿宋_GB2312" w:hAnsi="仿宋_GB2312" w:eastAsia="仿宋_GB2312"/>
                <w:b w:val="0"/>
                <w:color w:val="000000"/>
                <w:sz w:val="32"/>
              </w:rPr>
              <w:t>未公开披露</w:t>
            </w:r>
          </w:p>
        </w:tc>
        <w:tc>
          <w:tcPr>
            <w:tcW w:type="dxa" w:w="3402"/>
          </w:tcPr>
          <w:p>
            <w:pPr>
              <w:spacing w:lineRule="exact" w:line="600"/>
              <w:jc w:val="center"/>
            </w:pPr>
            <w:r/>
            <w:r>
              <w:rPr>
                <w:rFonts w:ascii="仿宋_GB2312" w:hAnsi="仿宋_GB2312" w:eastAsia="仿宋_GB2312"/>
                <w:b w:val="0"/>
                <w:color w:val="000000"/>
                <w:sz w:val="32"/>
              </w:rPr>
              <w:t>建议关注尽调</w:t>
            </w:r>
          </w:p>
        </w:tc>
      </w:tr>
      <w:tr>
        <w:tc>
          <w:tcPr>
            <w:tcW w:type="dxa" w:w="1984"/>
          </w:tcPr>
          <w:p>
            <w:pPr>
              <w:spacing w:lineRule="exact" w:line="600"/>
              <w:jc w:val="center"/>
            </w:pPr>
            <w:r/>
            <w:r>
              <w:rPr>
                <w:rFonts w:ascii="仿宋_GB2312" w:hAnsi="仿宋_GB2312" w:eastAsia="仿宋_GB2312"/>
                <w:b w:val="0"/>
                <w:color w:val="000000"/>
                <w:sz w:val="32"/>
              </w:rPr>
              <w:t>资产负债率</w:t>
            </w:r>
          </w:p>
        </w:tc>
        <w:tc>
          <w:tcPr>
            <w:tcW w:type="dxa" w:w="3685"/>
          </w:tcPr>
          <w:p>
            <w:pPr>
              <w:spacing w:lineRule="exact" w:line="600"/>
              <w:jc w:val="center"/>
            </w:pPr>
            <w:r/>
            <w:r>
              <w:rPr>
                <w:rFonts w:ascii="仿宋_GB2312" w:hAnsi="仿宋_GB2312" w:eastAsia="仿宋_GB2312"/>
                <w:b w:val="0"/>
                <w:color w:val="000000"/>
                <w:sz w:val="32"/>
              </w:rPr>
              <w:t>未公开披露</w:t>
            </w:r>
          </w:p>
        </w:tc>
        <w:tc>
          <w:tcPr>
            <w:tcW w:type="dxa" w:w="3402"/>
          </w:tcPr>
          <w:p>
            <w:pPr>
              <w:spacing w:lineRule="exact" w:line="600"/>
              <w:jc w:val="center"/>
            </w:pPr>
            <w:r/>
            <w:r>
              <w:rPr>
                <w:rFonts w:ascii="仿宋_GB2312" w:hAnsi="仿宋_GB2312" w:eastAsia="仿宋_GB2312"/>
                <w:b w:val="0"/>
                <w:color w:val="000000"/>
                <w:sz w:val="32"/>
              </w:rPr>
              <w:t>建议关注尽调</w:t>
            </w:r>
          </w:p>
        </w:tc>
      </w:tr>
      <w:tr>
        <w:tc>
          <w:tcPr>
            <w:tcW w:type="dxa" w:w="1984"/>
          </w:tcPr>
          <w:p>
            <w:pPr>
              <w:spacing w:lineRule="exact" w:line="600"/>
              <w:jc w:val="center"/>
            </w:pPr>
            <w:r/>
            <w:r>
              <w:rPr>
                <w:rFonts w:ascii="仿宋_GB2312" w:hAnsi="仿宋_GB2312" w:eastAsia="仿宋_GB2312"/>
                <w:b w:val="0"/>
                <w:color w:val="000000"/>
                <w:sz w:val="32"/>
              </w:rPr>
              <w:t>经营现金流</w:t>
            </w:r>
          </w:p>
        </w:tc>
        <w:tc>
          <w:tcPr>
            <w:tcW w:type="dxa" w:w="3685"/>
          </w:tcPr>
          <w:p>
            <w:pPr>
              <w:spacing w:lineRule="exact" w:line="600"/>
              <w:jc w:val="center"/>
            </w:pPr>
            <w:r/>
            <w:r>
              <w:rPr>
                <w:rFonts w:ascii="仿宋_GB2312" w:hAnsi="仿宋_GB2312" w:eastAsia="仿宋_GB2312"/>
                <w:b w:val="0"/>
                <w:color w:val="000000"/>
                <w:sz w:val="32"/>
              </w:rPr>
              <w:t>未公开披露</w:t>
            </w:r>
          </w:p>
        </w:tc>
        <w:tc>
          <w:tcPr>
            <w:tcW w:type="dxa" w:w="3402"/>
          </w:tcPr>
          <w:p>
            <w:pPr>
              <w:spacing w:lineRule="exact" w:line="600"/>
              <w:jc w:val="center"/>
            </w:pPr>
            <w:r/>
            <w:r>
              <w:rPr>
                <w:rFonts w:ascii="仿宋_GB2312" w:hAnsi="仿宋_GB2312" w:eastAsia="仿宋_GB2312"/>
                <w:b w:val="0"/>
                <w:color w:val="000000"/>
                <w:sz w:val="32"/>
              </w:rPr>
              <w:t>建议关注尽调</w:t>
            </w:r>
          </w:p>
        </w:tc>
      </w:tr>
      <w:tr>
        <w:tc>
          <w:tcPr>
            <w:tcW w:type="dxa" w:w="1984"/>
          </w:tcPr>
          <w:p>
            <w:pPr>
              <w:spacing w:lineRule="exact" w:line="600"/>
              <w:jc w:val="center"/>
            </w:pPr>
            <w:r/>
            <w:r>
              <w:rPr>
                <w:rFonts w:ascii="仿宋_GB2312" w:hAnsi="仿宋_GB2312" w:eastAsia="仿宋_GB2312"/>
                <w:b w:val="0"/>
                <w:color w:val="000000"/>
                <w:sz w:val="32"/>
              </w:rPr>
              <w:t>专利/软著</w:t>
            </w:r>
          </w:p>
        </w:tc>
        <w:tc>
          <w:tcPr>
            <w:tcW w:type="dxa" w:w="3685"/>
          </w:tcPr>
          <w:p>
            <w:pPr>
              <w:spacing w:lineRule="exact" w:line="600"/>
              <w:jc w:val="center"/>
            </w:pPr>
            <w:r/>
            <w:r>
              <w:rPr>
                <w:rFonts w:ascii="仿宋_GB2312" w:hAnsi="仿宋_GB2312" w:eastAsia="仿宋_GB2312"/>
                <w:b w:val="0"/>
                <w:color w:val="000000"/>
                <w:sz w:val="32"/>
              </w:rPr>
              <w:t>专利约41—43项、软著约13项</w:t>
            </w:r>
          </w:p>
        </w:tc>
        <w:tc>
          <w:tcPr>
            <w:tcW w:type="dxa" w:w="3402"/>
          </w:tcPr>
          <w:p>
            <w:pPr>
              <w:spacing w:lineRule="exact" w:line="600"/>
              <w:jc w:val="center"/>
            </w:pPr>
            <w:r/>
            <w:r>
              <w:rPr>
                <w:rFonts w:ascii="仿宋_GB2312" w:hAnsi="仿宋_GB2312" w:eastAsia="仿宋_GB2312"/>
                <w:b w:val="0"/>
                <w:color w:val="000000"/>
                <w:sz w:val="32"/>
              </w:rPr>
              <w:t>公开口径</w:t>
            </w:r>
          </w:p>
        </w:tc>
      </w:tr>
    </w:tbl>
    <w:p>
      <w:pPr>
        <w:spacing w:lineRule="exact" w:line="600" w:before="120" w:after="120"/>
        <w:ind w:firstLine="420"/>
        <w:jc w:val="left"/>
      </w:pPr>
      <w:r>
        <w:rPr>
          <w:rFonts w:ascii="楷体_GB2312" w:hAnsi="楷体_GB2312" w:eastAsia="楷体_GB2312"/>
          <w:b w:val="0"/>
          <w:color w:val="000000"/>
          <w:sz w:val="32"/>
        </w:rPr>
        <w:t>（二）资本与规模</w:t>
      </w:r>
    </w:p>
    <w:p>
      <w:pPr>
        <w:spacing w:lineRule="exact" w:line="600" w:before="0" w:after="0"/>
        <w:ind w:firstLine="420"/>
        <w:jc w:val="both"/>
      </w:pPr>
      <w:r>
        <w:rPr>
          <w:rFonts w:ascii="仿宋_GB2312" w:hAnsi="仿宋_GB2312" w:eastAsia="仿宋_GB2312"/>
          <w:b w:val="0"/>
          <w:color w:val="000000"/>
          <w:sz w:val="32"/>
        </w:rPr>
        <w:t>注册资本1,000万元、参保124人，属中小规模；作为"龙头"定位更多基于集群内产业链配套地位，实际体量需以尽调营收核实。</w:t>
      </w:r>
    </w:p>
    <w:p>
      <w:pPr>
        <w:spacing w:lineRule="exact" w:line="600" w:before="120" w:after="120"/>
        <w:ind w:firstLine="420"/>
        <w:jc w:val="left"/>
      </w:pPr>
      <w:r>
        <w:rPr>
          <w:rFonts w:ascii="黑体" w:hAnsi="黑体" w:eastAsia="黑体"/>
          <w:b w:val="0"/>
          <w:color w:val="000000"/>
          <w:sz w:val="32"/>
        </w:rPr>
        <w:t>四、公司治理、管理与人力的分析</w:t>
      </w:r>
    </w:p>
    <w:p>
      <w:pPr>
        <w:spacing w:lineRule="exact" w:line="600" w:before="0" w:after="0"/>
        <w:ind w:firstLine="420"/>
        <w:jc w:val="both"/>
      </w:pPr>
      <w:r>
        <w:rPr>
          <w:rFonts w:ascii="仿宋_GB2312" w:hAnsi="仿宋_GB2312" w:eastAsia="仿宋_GB2312"/>
          <w:b w:val="0"/>
          <w:color w:val="000000"/>
          <w:sz w:val="32"/>
        </w:rPr>
        <w:t>公司由集团全资控股，治理依赖集团管控；法定代表人与执行董事为刁学芹，监事为张磊。参保124人，团队含研发与制造人员。一人/独资架构下须关注财产独立与关联交易规范。</w:t>
      </w:r>
    </w:p>
    <w:p>
      <w:pPr>
        <w:spacing w:lineRule="exact" w:line="600" w:before="120" w:after="120"/>
        <w:ind w:firstLine="420"/>
        <w:jc w:val="left"/>
      </w:pPr>
      <w:r>
        <w:rPr>
          <w:rFonts w:ascii="黑体" w:hAnsi="黑体" w:eastAsia="黑体"/>
          <w:b w:val="0"/>
          <w:color w:val="000000"/>
          <w:sz w:val="32"/>
        </w:rPr>
        <w:t>五、核心竞争力分析</w:t>
      </w:r>
    </w:p>
    <w:tbl>
      <w:tblPr>
        <w:tblStyle w:val="TableGrid"/>
        <w:tblW w:type="auto" w:w="0"/>
        <w:jc w:val="center"/>
        <w:tblLook w:firstColumn="1" w:firstRow="1" w:lastColumn="0" w:lastRow="0" w:noHBand="0" w:noVBand="1" w:val="04A0"/>
      </w:tblPr>
      <w:tblGrid>
        <w:gridCol w:w="4422"/>
        <w:gridCol w:w="4422"/>
      </w:tblGrid>
      <w:tr>
        <w:tc>
          <w:tcPr>
            <w:tcW w:type="dxa" w:w="2268"/>
          </w:tcPr>
          <w:p>
            <w:pPr>
              <w:spacing w:lineRule="exact" w:line="600"/>
              <w:jc w:val="center"/>
            </w:pPr>
            <w:r/>
            <w:r>
              <w:rPr>
                <w:rFonts w:ascii="黑体" w:hAnsi="黑体" w:eastAsia="黑体"/>
                <w:b/>
                <w:color w:val="000000"/>
                <w:sz w:val="32"/>
              </w:rPr>
              <w:t>核心竞争力</w:t>
            </w:r>
          </w:p>
        </w:tc>
        <w:tc>
          <w:tcPr>
            <w:tcW w:type="dxa" w:w="6803"/>
          </w:tcPr>
          <w:p>
            <w:pPr>
              <w:spacing w:lineRule="exact" w:line="600"/>
              <w:jc w:val="center"/>
            </w:pPr>
            <w:r/>
            <w:r>
              <w:rPr>
                <w:rFonts w:ascii="黑体" w:hAnsi="黑体" w:eastAsia="黑体"/>
                <w:b/>
                <w:color w:val="000000"/>
                <w:sz w:val="32"/>
              </w:rPr>
              <w:t>具体表现</w:t>
            </w:r>
          </w:p>
        </w:tc>
      </w:tr>
      <w:tr>
        <w:tc>
          <w:tcPr>
            <w:tcW w:type="dxa" w:w="2268"/>
          </w:tcPr>
          <w:p>
            <w:pPr>
              <w:spacing w:lineRule="exact" w:line="600"/>
              <w:jc w:val="center"/>
            </w:pPr>
            <w:r/>
            <w:r>
              <w:rPr>
                <w:rFonts w:ascii="仿宋_GB2312" w:hAnsi="仿宋_GB2312" w:eastAsia="仿宋_GB2312"/>
                <w:b w:val="0"/>
                <w:color w:val="000000"/>
                <w:sz w:val="32"/>
              </w:rPr>
              <w:t>集群地位</w:t>
            </w:r>
          </w:p>
        </w:tc>
        <w:tc>
          <w:tcPr>
            <w:tcW w:type="dxa" w:w="6803"/>
          </w:tcPr>
          <w:p>
            <w:pPr>
              <w:spacing w:lineRule="exact" w:line="600"/>
              <w:jc w:val="center"/>
            </w:pPr>
            <w:r/>
            <w:r>
              <w:rPr>
                <w:rFonts w:ascii="仿宋_GB2312" w:hAnsi="仿宋_GB2312" w:eastAsia="仿宋_GB2312"/>
                <w:b w:val="0"/>
                <w:color w:val="000000"/>
                <w:sz w:val="32"/>
              </w:rPr>
              <w:t>岱岳区玻纤集群三大龙头之一</w:t>
            </w:r>
          </w:p>
        </w:tc>
      </w:tr>
      <w:tr>
        <w:tc>
          <w:tcPr>
            <w:tcW w:type="dxa" w:w="2268"/>
          </w:tcPr>
          <w:p>
            <w:pPr>
              <w:spacing w:lineRule="exact" w:line="600"/>
              <w:jc w:val="center"/>
            </w:pPr>
            <w:r/>
            <w:r>
              <w:rPr>
                <w:rFonts w:ascii="仿宋_GB2312" w:hAnsi="仿宋_GB2312" w:eastAsia="仿宋_GB2312"/>
                <w:b w:val="0"/>
                <w:color w:val="000000"/>
                <w:sz w:val="32"/>
              </w:rPr>
              <w:t>资质储备</w:t>
            </w:r>
          </w:p>
        </w:tc>
        <w:tc>
          <w:tcPr>
            <w:tcW w:type="dxa" w:w="6803"/>
          </w:tcPr>
          <w:p>
            <w:pPr>
              <w:spacing w:lineRule="exact" w:line="600"/>
              <w:jc w:val="center"/>
            </w:pPr>
            <w:r/>
            <w:r>
              <w:rPr>
                <w:rFonts w:ascii="仿宋_GB2312" w:hAnsi="仿宋_GB2312" w:eastAsia="仿宋_GB2312"/>
                <w:b w:val="0"/>
                <w:color w:val="000000"/>
                <w:sz w:val="32"/>
              </w:rPr>
              <w:t>省级专精特新、高新、瞪羚、企业技术中心</w:t>
            </w:r>
          </w:p>
        </w:tc>
      </w:tr>
      <w:tr>
        <w:tc>
          <w:tcPr>
            <w:tcW w:type="dxa" w:w="2268"/>
          </w:tcPr>
          <w:p>
            <w:pPr>
              <w:spacing w:lineRule="exact" w:line="600"/>
              <w:jc w:val="center"/>
            </w:pPr>
            <w:r/>
            <w:r>
              <w:rPr>
                <w:rFonts w:ascii="仿宋_GB2312" w:hAnsi="仿宋_GB2312" w:eastAsia="仿宋_GB2312"/>
                <w:b w:val="0"/>
                <w:color w:val="000000"/>
                <w:sz w:val="32"/>
              </w:rPr>
              <w:t>知识产权</w:t>
            </w:r>
          </w:p>
        </w:tc>
        <w:tc>
          <w:tcPr>
            <w:tcW w:type="dxa" w:w="6803"/>
          </w:tcPr>
          <w:p>
            <w:pPr>
              <w:spacing w:lineRule="exact" w:line="600"/>
              <w:jc w:val="center"/>
            </w:pPr>
            <w:r/>
            <w:r>
              <w:rPr>
                <w:rFonts w:ascii="仿宋_GB2312" w:hAnsi="仿宋_GB2312" w:eastAsia="仿宋_GB2312"/>
                <w:b w:val="0"/>
                <w:color w:val="000000"/>
                <w:sz w:val="32"/>
              </w:rPr>
              <w:t>专利40余项、软著13项</w:t>
            </w:r>
          </w:p>
        </w:tc>
      </w:tr>
      <w:tr>
        <w:tc>
          <w:tcPr>
            <w:tcW w:type="dxa" w:w="2268"/>
          </w:tcPr>
          <w:p>
            <w:pPr>
              <w:spacing w:lineRule="exact" w:line="600"/>
              <w:jc w:val="center"/>
            </w:pPr>
            <w:r/>
            <w:r>
              <w:rPr>
                <w:rFonts w:ascii="仿宋_GB2312" w:hAnsi="仿宋_GB2312" w:eastAsia="仿宋_GB2312"/>
                <w:b w:val="0"/>
                <w:color w:val="000000"/>
                <w:sz w:val="32"/>
              </w:rPr>
              <w:t>集团协同</w:t>
            </w:r>
          </w:p>
        </w:tc>
        <w:tc>
          <w:tcPr>
            <w:tcW w:type="dxa" w:w="6803"/>
          </w:tcPr>
          <w:p>
            <w:pPr>
              <w:spacing w:lineRule="exact" w:line="600"/>
              <w:jc w:val="center"/>
            </w:pPr>
            <w:r/>
            <w:r>
              <w:rPr>
                <w:rFonts w:ascii="仿宋_GB2312" w:hAnsi="仿宋_GB2312" w:eastAsia="仿宋_GB2312"/>
                <w:b w:val="0"/>
                <w:color w:val="000000"/>
                <w:sz w:val="32"/>
              </w:rPr>
              <w:t>上海盈九新材料集团成员</w:t>
            </w:r>
          </w:p>
        </w:tc>
      </w:tr>
    </w:tbl>
    <w:p>
      <w:pPr>
        <w:spacing w:lineRule="exact" w:line="600" w:before="120" w:after="120"/>
        <w:ind w:firstLine="420"/>
        <w:jc w:val="left"/>
      </w:pPr>
      <w:r>
        <w:rPr>
          <w:rFonts w:ascii="黑体" w:hAnsi="黑体" w:eastAsia="黑体"/>
          <w:b w:val="0"/>
          <w:color w:val="000000"/>
          <w:sz w:val="32"/>
        </w:rPr>
        <w:t>六、风险分析（重点提示）</w:t>
      </w:r>
    </w:p>
    <w:p>
      <w:pPr>
        <w:spacing w:lineRule="exact" w:line="600" w:before="0" w:after="0"/>
        <w:ind w:firstLine="420"/>
        <w:jc w:val="both"/>
      </w:pPr>
      <w:r>
        <w:rPr>
          <w:rFonts w:ascii="仿宋_GB2312" w:hAnsi="仿宋_GB2312" w:eastAsia="仿宋_GB2312"/>
          <w:b w:val="0"/>
          <w:color w:val="000000"/>
          <w:sz w:val="32"/>
        </w:rPr>
        <w:t>公开企业信息平台显示该公司存在较多风险信号，须重点提示：</w:t>
      </w:r>
    </w:p>
    <w:tbl>
      <w:tblPr>
        <w:tblStyle w:val="TableGrid"/>
        <w:tblW w:type="auto" w:w="0"/>
        <w:jc w:val="center"/>
        <w:tblLook w:firstColumn="1" w:firstRow="1" w:lastColumn="0" w:lastRow="0" w:noHBand="0" w:noVBand="1" w:val="04A0"/>
      </w:tblPr>
      <w:tblGrid>
        <w:gridCol w:w="2948"/>
        <w:gridCol w:w="2948"/>
        <w:gridCol w:w="2948"/>
      </w:tblGrid>
      <w:tr>
        <w:tc>
          <w:tcPr>
            <w:tcW w:type="dxa" w:w="1417"/>
          </w:tcPr>
          <w:p>
            <w:pPr>
              <w:spacing w:lineRule="exact" w:line="600"/>
              <w:jc w:val="center"/>
            </w:pPr>
            <w:r/>
            <w:r>
              <w:rPr>
                <w:rFonts w:ascii="黑体" w:hAnsi="黑体" w:eastAsia="黑体"/>
                <w:b/>
                <w:color w:val="000000"/>
                <w:sz w:val="32"/>
              </w:rPr>
              <w:t>风险类别</w:t>
            </w:r>
          </w:p>
        </w:tc>
        <w:tc>
          <w:tcPr>
            <w:tcW w:type="dxa" w:w="4535"/>
          </w:tcPr>
          <w:p>
            <w:pPr>
              <w:spacing w:lineRule="exact" w:line="600"/>
              <w:jc w:val="center"/>
            </w:pPr>
            <w:r/>
            <w:r>
              <w:rPr>
                <w:rFonts w:ascii="黑体" w:hAnsi="黑体" w:eastAsia="黑体"/>
                <w:b/>
                <w:color w:val="000000"/>
                <w:sz w:val="32"/>
              </w:rPr>
              <w:t>风险信号（公开信息）</w:t>
            </w:r>
          </w:p>
        </w:tc>
        <w:tc>
          <w:tcPr>
            <w:tcW w:type="dxa" w:w="3118"/>
          </w:tcPr>
          <w:p>
            <w:pPr>
              <w:spacing w:lineRule="exact" w:line="600"/>
              <w:jc w:val="center"/>
            </w:pPr>
            <w:r/>
            <w:r>
              <w:rPr>
                <w:rFonts w:ascii="黑体" w:hAnsi="黑体" w:eastAsia="黑体"/>
                <w:b/>
                <w:color w:val="000000"/>
                <w:sz w:val="32"/>
              </w:rPr>
              <w:t>说明</w:t>
            </w:r>
          </w:p>
        </w:tc>
      </w:tr>
      <w:tr>
        <w:tc>
          <w:tcPr>
            <w:tcW w:type="dxa" w:w="1417"/>
          </w:tcPr>
          <w:p>
            <w:pPr>
              <w:spacing w:lineRule="exact" w:line="600"/>
              <w:jc w:val="center"/>
            </w:pPr>
            <w:r/>
            <w:r>
              <w:rPr>
                <w:rFonts w:ascii="仿宋_GB2312" w:hAnsi="仿宋_GB2312" w:eastAsia="仿宋_GB2312"/>
                <w:b w:val="0"/>
                <w:color w:val="000000"/>
                <w:sz w:val="32"/>
              </w:rPr>
              <w:t>司法风险</w:t>
            </w:r>
          </w:p>
        </w:tc>
        <w:tc>
          <w:tcPr>
            <w:tcW w:type="dxa" w:w="4535"/>
          </w:tcPr>
          <w:p>
            <w:pPr>
              <w:spacing w:lineRule="exact" w:line="600"/>
              <w:jc w:val="center"/>
            </w:pPr>
            <w:r/>
            <w:r>
              <w:rPr>
                <w:rFonts w:ascii="仿宋_GB2312" w:hAnsi="仿宋_GB2312" w:eastAsia="仿宋_GB2312"/>
                <w:b w:val="0"/>
                <w:color w:val="000000"/>
                <w:sz w:val="32"/>
              </w:rPr>
              <w:t>天眼查显示风险信息约105条、裁判文书4条、涉诉关系14条、开庭公告19条</w:t>
            </w:r>
          </w:p>
        </w:tc>
        <w:tc>
          <w:tcPr>
            <w:tcW w:type="dxa" w:w="3118"/>
          </w:tcPr>
          <w:p>
            <w:pPr>
              <w:spacing w:lineRule="exact" w:line="600"/>
              <w:jc w:val="center"/>
            </w:pPr>
            <w:r/>
            <w:r>
              <w:rPr>
                <w:rFonts w:ascii="仿宋_GB2312" w:hAnsi="仿宋_GB2312" w:eastAsia="仿宋_GB2312"/>
                <w:b w:val="0"/>
                <w:color w:val="000000"/>
                <w:sz w:val="32"/>
              </w:rPr>
              <w:t>诉讼与被执行风险较高</w:t>
            </w:r>
          </w:p>
        </w:tc>
      </w:tr>
      <w:tr>
        <w:tc>
          <w:tcPr>
            <w:tcW w:type="dxa" w:w="1417"/>
          </w:tcPr>
          <w:p>
            <w:pPr>
              <w:spacing w:lineRule="exact" w:line="600"/>
              <w:jc w:val="center"/>
            </w:pPr>
            <w:r/>
            <w:r>
              <w:rPr>
                <w:rFonts w:ascii="仿宋_GB2312" w:hAnsi="仿宋_GB2312" w:eastAsia="仿宋_GB2312"/>
                <w:b w:val="0"/>
                <w:color w:val="000000"/>
                <w:sz w:val="32"/>
              </w:rPr>
              <w:t>立案/公告</w:t>
            </w:r>
          </w:p>
        </w:tc>
        <w:tc>
          <w:tcPr>
            <w:tcW w:type="dxa" w:w="4535"/>
          </w:tcPr>
          <w:p>
            <w:pPr>
              <w:spacing w:lineRule="exact" w:line="600"/>
              <w:jc w:val="center"/>
            </w:pPr>
            <w:r/>
            <w:r>
              <w:rPr>
                <w:rFonts w:ascii="仿宋_GB2312" w:hAnsi="仿宋_GB2312" w:eastAsia="仿宋_GB2312"/>
                <w:b w:val="0"/>
                <w:color w:val="000000"/>
                <w:sz w:val="32"/>
              </w:rPr>
              <w:t>另据来源：立案10件、法院公告4个、开庭公告32个、涉诉关系8起</w:t>
            </w:r>
          </w:p>
        </w:tc>
        <w:tc>
          <w:tcPr>
            <w:tcW w:type="dxa" w:w="3118"/>
          </w:tcPr>
          <w:p>
            <w:pPr>
              <w:spacing w:lineRule="exact" w:line="600"/>
              <w:jc w:val="center"/>
            </w:pPr>
            <w:r/>
            <w:r>
              <w:rPr>
                <w:rFonts w:ascii="仿宋_GB2312" w:hAnsi="仿宋_GB2312" w:eastAsia="仿宋_GB2312"/>
                <w:b w:val="0"/>
                <w:color w:val="000000"/>
                <w:sz w:val="32"/>
              </w:rPr>
              <w:t>Multi-source印证风险</w:t>
            </w:r>
          </w:p>
        </w:tc>
      </w:tr>
      <w:tr>
        <w:tc>
          <w:tcPr>
            <w:tcW w:type="dxa" w:w="1417"/>
          </w:tcPr>
          <w:p>
            <w:pPr>
              <w:spacing w:lineRule="exact" w:line="600"/>
              <w:jc w:val="center"/>
            </w:pPr>
            <w:r/>
            <w:r>
              <w:rPr>
                <w:rFonts w:ascii="仿宋_GB2312" w:hAnsi="仿宋_GB2312" w:eastAsia="仿宋_GB2312"/>
                <w:b w:val="0"/>
                <w:color w:val="000000"/>
                <w:sz w:val="32"/>
              </w:rPr>
              <w:t>规模偏小</w:t>
            </w:r>
          </w:p>
        </w:tc>
        <w:tc>
          <w:tcPr>
            <w:tcW w:type="dxa" w:w="4535"/>
          </w:tcPr>
          <w:p>
            <w:pPr>
              <w:spacing w:lineRule="exact" w:line="600"/>
              <w:jc w:val="center"/>
            </w:pPr>
            <w:r/>
            <w:r>
              <w:rPr>
                <w:rFonts w:ascii="仿宋_GB2312" w:hAnsi="仿宋_GB2312" w:eastAsia="仿宋_GB2312"/>
                <w:b w:val="0"/>
                <w:color w:val="000000"/>
                <w:sz w:val="32"/>
              </w:rPr>
              <w:t>注册资本仅1,000万、参保124人</w:t>
            </w:r>
          </w:p>
        </w:tc>
        <w:tc>
          <w:tcPr>
            <w:tcW w:type="dxa" w:w="3118"/>
          </w:tcPr>
          <w:p>
            <w:pPr>
              <w:spacing w:lineRule="exact" w:line="600"/>
              <w:jc w:val="center"/>
            </w:pPr>
            <w:r/>
            <w:r>
              <w:rPr>
                <w:rFonts w:ascii="仿宋_GB2312" w:hAnsi="仿宋_GB2312" w:eastAsia="仿宋_GB2312"/>
                <w:b w:val="0"/>
                <w:color w:val="000000"/>
                <w:sz w:val="32"/>
              </w:rPr>
              <w:t>抗风险能力有限</w:t>
            </w:r>
          </w:p>
        </w:tc>
      </w:tr>
      <w:tr>
        <w:tc>
          <w:tcPr>
            <w:tcW w:type="dxa" w:w="1417"/>
          </w:tcPr>
          <w:p>
            <w:pPr>
              <w:spacing w:lineRule="exact" w:line="600"/>
              <w:jc w:val="center"/>
            </w:pPr>
            <w:r/>
            <w:r>
              <w:rPr>
                <w:rFonts w:ascii="仿宋_GB2312" w:hAnsi="仿宋_GB2312" w:eastAsia="仿宋_GB2312"/>
                <w:b w:val="0"/>
                <w:color w:val="000000"/>
                <w:sz w:val="32"/>
              </w:rPr>
              <w:t>财务不透明</w:t>
            </w:r>
          </w:p>
        </w:tc>
        <w:tc>
          <w:tcPr>
            <w:tcW w:type="dxa" w:w="4535"/>
          </w:tcPr>
          <w:p>
            <w:pPr>
              <w:spacing w:lineRule="exact" w:line="600"/>
              <w:jc w:val="center"/>
            </w:pPr>
            <w:r/>
            <w:r>
              <w:rPr>
                <w:rFonts w:ascii="仿宋_GB2312" w:hAnsi="仿宋_GB2312" w:eastAsia="仿宋_GB2312"/>
                <w:b w:val="0"/>
                <w:color w:val="000000"/>
                <w:sz w:val="32"/>
              </w:rPr>
              <w:t>非上市未披露</w:t>
            </w:r>
          </w:p>
        </w:tc>
        <w:tc>
          <w:tcPr>
            <w:tcW w:type="dxa" w:w="3118"/>
          </w:tcPr>
          <w:p>
            <w:pPr>
              <w:spacing w:lineRule="exact" w:line="600"/>
              <w:jc w:val="center"/>
            </w:pPr>
            <w:r/>
            <w:r>
              <w:rPr>
                <w:rFonts w:ascii="仿宋_GB2312" w:hAnsi="仿宋_GB2312" w:eastAsia="仿宋_GB2312"/>
                <w:b w:val="0"/>
                <w:color w:val="000000"/>
                <w:sz w:val="32"/>
              </w:rPr>
              <w:t>尽调难度高</w:t>
            </w:r>
          </w:p>
        </w:tc>
      </w:tr>
    </w:tbl>
    <w:p>
      <w:pPr>
        <w:spacing w:lineRule="exact" w:line="600" w:before="0" w:after="0"/>
        <w:ind w:firstLine="420"/>
        <w:jc w:val="both"/>
      </w:pPr>
      <w:r>
        <w:rPr>
          <w:rFonts w:ascii="仿宋_GB2312" w:hAnsi="仿宋_GB2312" w:eastAsia="仿宋_GB2312"/>
          <w:b w:val="0"/>
          <w:color w:val="000000"/>
          <w:sz w:val="32"/>
        </w:rPr>
        <w:t>上述多源信息综合表明公司诉讼与合规风险偏高，投资与授信前应取得完整司法、征信与资产查封核查。</w:t>
      </w:r>
    </w:p>
    <w:p>
      <w:pPr>
        <w:spacing w:lineRule="exact" w:line="600" w:before="120" w:after="120"/>
        <w:ind w:firstLine="420"/>
        <w:jc w:val="left"/>
      </w:pPr>
      <w:r>
        <w:rPr>
          <w:rFonts w:ascii="黑体" w:hAnsi="黑体" w:eastAsia="黑体"/>
          <w:b w:val="0"/>
          <w:color w:val="000000"/>
          <w:sz w:val="32"/>
        </w:rPr>
        <w:t>七、融资需求分析</w:t>
      </w:r>
    </w:p>
    <w:p>
      <w:pPr>
        <w:spacing w:lineRule="exact" w:line="600" w:before="120" w:after="120"/>
        <w:ind w:firstLine="420"/>
        <w:jc w:val="left"/>
      </w:pPr>
      <w:r>
        <w:rPr>
          <w:rFonts w:ascii="楷体_GB2312" w:hAnsi="楷体_GB2312" w:eastAsia="楷体_GB2312"/>
          <w:b w:val="0"/>
          <w:color w:val="000000"/>
          <w:sz w:val="32"/>
        </w:rPr>
        <w:t>（一）商业保理</w:t>
      </w:r>
    </w:p>
    <w:p>
      <w:pPr>
        <w:spacing w:lineRule="exact" w:line="600" w:before="0" w:after="0"/>
        <w:ind w:firstLine="420"/>
        <w:jc w:val="both"/>
      </w:pPr>
      <w:r>
        <w:rPr>
          <w:rFonts w:ascii="仿宋_GB2312" w:hAnsi="仿宋_GB2312" w:eastAsia="仿宋_GB2312"/>
          <w:b w:val="0"/>
          <w:color w:val="000000"/>
          <w:sz w:val="32"/>
        </w:rPr>
        <w:t>若应收账款真实合法可探索，但须先厘清诉讼与权属风险。</w:t>
      </w:r>
    </w:p>
    <w:p>
      <w:pPr>
        <w:spacing w:lineRule="exact" w:line="600" w:before="120" w:after="120"/>
        <w:ind w:firstLine="420"/>
        <w:jc w:val="left"/>
      </w:pPr>
      <w:r>
        <w:rPr>
          <w:rFonts w:ascii="楷体_GB2312" w:hAnsi="楷体_GB2312" w:eastAsia="楷体_GB2312"/>
          <w:b w:val="0"/>
          <w:color w:val="000000"/>
          <w:sz w:val="32"/>
        </w:rPr>
        <w:t>（二）供应链金融</w:t>
      </w:r>
    </w:p>
    <w:p>
      <w:pPr>
        <w:spacing w:lineRule="exact" w:line="600" w:before="0" w:after="0"/>
        <w:ind w:firstLine="420"/>
        <w:jc w:val="both"/>
      </w:pPr>
      <w:r>
        <w:rPr>
          <w:rFonts w:ascii="仿宋_GB2312" w:hAnsi="仿宋_GB2312" w:eastAsia="仿宋_GB2312"/>
          <w:b w:val="0"/>
          <w:color w:val="000000"/>
          <w:sz w:val="32"/>
        </w:rPr>
        <w:t>高风险信号下不宜轻易以核心企业信用背书。</w:t>
      </w:r>
    </w:p>
    <w:p>
      <w:pPr>
        <w:spacing w:lineRule="exact" w:line="600" w:before="120" w:after="120"/>
        <w:ind w:firstLine="420"/>
        <w:jc w:val="left"/>
      </w:pPr>
      <w:r>
        <w:rPr>
          <w:rFonts w:ascii="楷体_GB2312" w:hAnsi="楷体_GB2312" w:eastAsia="楷体_GB2312"/>
          <w:b w:val="0"/>
          <w:color w:val="000000"/>
          <w:sz w:val="32"/>
        </w:rPr>
        <w:t>（三）融资租赁</w:t>
      </w:r>
    </w:p>
    <w:p>
      <w:pPr>
        <w:spacing w:lineRule="exact" w:line="600" w:before="0" w:after="0"/>
        <w:ind w:firstLine="420"/>
        <w:jc w:val="both"/>
      </w:pPr>
      <w:r>
        <w:rPr>
          <w:rFonts w:ascii="仿宋_GB2312" w:hAnsi="仿宋_GB2312" w:eastAsia="仿宋_GB2312"/>
          <w:b w:val="0"/>
          <w:color w:val="000000"/>
          <w:sz w:val="32"/>
        </w:rPr>
        <w:t>设备若存在查封则不宜操作。</w:t>
      </w:r>
    </w:p>
    <w:p>
      <w:pPr>
        <w:spacing w:lineRule="exact" w:line="600" w:before="120" w:after="120"/>
        <w:ind w:firstLine="420"/>
        <w:jc w:val="left"/>
      </w:pPr>
      <w:r>
        <w:rPr>
          <w:rFonts w:ascii="楷体_GB2312" w:hAnsi="楷体_GB2312" w:eastAsia="楷体_GB2312"/>
          <w:b w:val="0"/>
          <w:color w:val="000000"/>
          <w:sz w:val="32"/>
        </w:rPr>
        <w:t>（四）小额贷款</w:t>
      </w:r>
    </w:p>
    <w:p>
      <w:pPr>
        <w:spacing w:lineRule="exact" w:line="600" w:before="0" w:after="0"/>
        <w:ind w:firstLine="420"/>
        <w:jc w:val="both"/>
      </w:pPr>
      <w:r>
        <w:rPr>
          <w:rFonts w:ascii="仿宋_GB2312" w:hAnsi="仿宋_GB2312" w:eastAsia="仿宋_GB2312"/>
          <w:b w:val="0"/>
          <w:color w:val="000000"/>
          <w:sz w:val="32"/>
        </w:rPr>
        <w:t>高风险主体原则上不建议新增信用敞口；如介入须强抵押、限额。</w:t>
      </w:r>
    </w:p>
    <w:p>
      <w:pPr>
        <w:spacing w:lineRule="exact" w:line="600" w:before="120" w:after="120"/>
        <w:ind w:firstLine="420"/>
        <w:jc w:val="left"/>
      </w:pPr>
      <w:r>
        <w:rPr>
          <w:rFonts w:ascii="黑体" w:hAnsi="黑体" w:eastAsia="黑体"/>
          <w:b w:val="0"/>
          <w:color w:val="000000"/>
          <w:sz w:val="32"/>
        </w:rPr>
        <w:t>八、综合评价、展望与建议</w:t>
      </w:r>
    </w:p>
    <w:p>
      <w:pPr>
        <w:spacing w:lineRule="exact" w:line="600" w:before="0" w:after="0"/>
        <w:ind w:firstLine="420"/>
        <w:jc w:val="both"/>
      </w:pPr>
      <w:r>
        <w:rPr>
          <w:rFonts w:ascii="仿宋_GB2312" w:hAnsi="仿宋_GB2312" w:eastAsia="仿宋_GB2312"/>
          <w:b w:val="0"/>
          <w:color w:val="000000"/>
          <w:sz w:val="32"/>
        </w:rPr>
        <w:t>山东盈九新能源科技有限公司虽被列为岱岳区玻纤集群三大龙头之一，且具备专精特新、高新、瞪羚等资质与一定专利储备，但公开信息显示其司法与涉诉风险信号较多、资本规模偏小、财务不透明，投资确定性弱于同集群的泰山玻纤与润德复合。</w:t>
      </w:r>
    </w:p>
    <w:p>
      <w:pPr>
        <w:spacing w:lineRule="exact" w:line="600" w:before="0" w:after="0"/>
        <w:ind w:firstLine="420"/>
        <w:jc w:val="both"/>
      </w:pPr>
      <w:r>
        <w:rPr>
          <w:rFonts w:ascii="仿宋_GB2312" w:hAnsi="仿宋_GB2312" w:eastAsia="仿宋_GB2312"/>
          <w:b w:val="0"/>
          <w:color w:val="000000"/>
          <w:sz w:val="32"/>
        </w:rPr>
        <w:t>综合建议：将其列为"重点风险关注"标的，在风险信号未澄清前不建议作为主要投资或授信对象；若确有必要合作，须先行取得完整司法、征信、税务与资产查封核查，落实强担保，并优先采用应收账款买断等低风险模式。</w:t>
      </w:r>
    </w:p>
    <w:p>
      <w:pPr>
        <w:spacing w:lineRule="exact" w:line="600" w:before="0" w:after="0"/>
        <w:jc w:val="left"/>
      </w:pPr>
      <w:r>
        <w:rPr>
          <w:rFonts w:ascii="仿宋_GB2312" w:hAnsi="仿宋_GB2312" w:eastAsia="仿宋_GB2312"/>
          <w:b w:val="0"/>
          <w:color w:val="000000"/>
          <w:sz w:val="28"/>
        </w:rPr>
        <w:t>数据来源说明：本报告数据来源于国家企业信用信息公示系统/公开工商信息、天眼查、爱企查、启信宝等公开企业信息平台、岱岳区公开报道。财务数据因公司未上市未公开披露，已如实标注。风险信号来源于公开渠道，具体以司法与征信机关最新记录为准。</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