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山东泰安岱岳区(玻璃纤维新材料)特色产业集群</w:t>
      </w:r>
    </w:p>
    <w:p>
      <w:pPr>
        <w:spacing w:lineRule="exact" w:line="600" w:before="240" w:after="240"/>
        <w:ind w:firstLine="0"/>
        <w:jc w:val="center"/>
      </w:pPr>
      <w:r>
        <w:rPr>
          <w:rFonts w:ascii="方正小标宋简体" w:hAnsi="方正小标宋简体" w:eastAsia="方正小标宋简体"/>
          <w:b w:val="0"/>
          <w:color w:val="000000"/>
          <w:sz w:val="44"/>
        </w:rPr>
        <w:t>泰山玻璃纤维有限公司企业分析报告</w:t>
      </w:r>
    </w:p>
    <w:p>
      <w:pPr>
        <w:spacing w:lineRule="exact" w:line="600" w:before="0" w:after="0"/>
        <w:jc w:val="left"/>
      </w:pPr>
      <w:r>
        <w:rPr>
          <w:rFonts w:ascii="仿宋_GB2312" w:hAnsi="仿宋_GB2312" w:eastAsia="仿宋_GB2312"/>
          <w:b w:val="0"/>
          <w:color w:val="000000"/>
          <w:sz w:val="28"/>
        </w:rPr>
        <w:t>（本报告依据中材科技(002080.SZ)年报/公告、公司官网、行业权威媒体及公开报道编写，用于产业投资参考。泰山玻纤为中材科技全资子公司，财务数据采用中材科技公开披露口径（含泰山玻纤分部数据）。数据来源见文末。）</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（一）工商基本信息</w:t>
      </w:r>
    </w:p>
    <w:p>
      <w:pPr>
        <w:spacing w:lineRule="exact" w:line="600" w:before="0" w:after="0"/>
        <w:ind w:firstLine="420"/>
        <w:jc w:val="both"/>
      </w:pPr>
      <w:r>
        <w:rPr>
          <w:rFonts w:ascii="仿宋_GB2312" w:hAnsi="仿宋_GB2312" w:eastAsia="仿宋_GB2312"/>
          <w:b w:val="0"/>
          <w:color w:val="000000"/>
          <w:sz w:val="32"/>
        </w:rPr>
        <w:t>泰山玻璃纤维有限公司（简称"泰山玻纤"）系中材科技股份有限公司（股票代码002080.SZ，中国建材集团旗下）之全资子公司，注册地位于山东省泰安市，是国内玻璃纤维及制品领域的龙头企业之一，也是岱岳区玻纤新材料产业集群的链主企业。</w:t>
      </w:r>
    </w:p>
    <w:tbl>
      <w:tblPr>
        <w:tblStyle w:val="TableGrid"/>
        <w:tblW w:type="auto" w:w="0"/>
        <w:jc w:val="center"/>
        <w:tblLook w:firstColumn="1" w:firstRow="1" w:lastColumn="0" w:lastRow="0" w:noHBand="0" w:noVBand="1" w:val="04A0"/>
      </w:tblPr>
      <w:tblGrid>
        <w:gridCol w:w="4422"/>
        <w:gridCol w:w="4422"/>
      </w:tblGrid>
      <w:tr>
        <w:tc>
          <w:tcPr>
            <w:tcW w:type="dxa" w:w="1984"/>
          </w:tcPr>
          <w:p>
            <w:pPr>
              <w:spacing w:lineRule="exact" w:line="600"/>
              <w:jc w:val="center"/>
            </w:pPr>
            <w:r/>
            <w:r>
              <w:rPr>
                <w:rFonts w:ascii="黑体" w:hAnsi="黑体" w:eastAsia="黑体"/>
                <w:b/>
                <w:color w:val="000000"/>
                <w:sz w:val="32"/>
              </w:rPr>
              <w:t>项目</w:t>
            </w:r>
          </w:p>
        </w:tc>
        <w:tc>
          <w:tcPr>
            <w:tcW w:type="dxa" w:w="7087"/>
          </w:tcPr>
          <w:p>
            <w:pPr>
              <w:spacing w:lineRule="exact" w:line="600"/>
              <w:jc w:val="center"/>
            </w:pPr>
            <w:r/>
            <w:r>
              <w:rPr>
                <w:rFonts w:ascii="黑体" w:hAnsi="黑体" w:eastAsia="黑体"/>
                <w:b/>
                <w:color w:val="000000"/>
                <w:sz w:val="32"/>
              </w:rPr>
              <w:t>内容</w:t>
            </w:r>
          </w:p>
        </w:tc>
      </w:tr>
      <w:tr>
        <w:tc>
          <w:tcPr>
            <w:tcW w:type="dxa" w:w="1984"/>
          </w:tcPr>
          <w:p>
            <w:pPr>
              <w:spacing w:lineRule="exact" w:line="600"/>
              <w:jc w:val="center"/>
            </w:pPr>
            <w:r/>
            <w:r>
              <w:rPr>
                <w:rFonts w:ascii="仿宋_GB2312" w:hAnsi="仿宋_GB2312" w:eastAsia="仿宋_GB2312"/>
                <w:b w:val="0"/>
                <w:color w:val="000000"/>
                <w:sz w:val="32"/>
              </w:rPr>
              <w:t>企业名称</w:t>
            </w:r>
          </w:p>
        </w:tc>
        <w:tc>
          <w:tcPr>
            <w:tcW w:type="dxa" w:w="7087"/>
          </w:tcPr>
          <w:p>
            <w:pPr>
              <w:spacing w:lineRule="exact" w:line="600"/>
              <w:jc w:val="center"/>
            </w:pPr>
            <w:r/>
            <w:r>
              <w:rPr>
                <w:rFonts w:ascii="仿宋_GB2312" w:hAnsi="仿宋_GB2312" w:eastAsia="仿宋_GB2312"/>
                <w:b w:val="0"/>
                <w:color w:val="000000"/>
                <w:sz w:val="32"/>
              </w:rPr>
              <w:t>泰山玻璃纤维有限公司</w:t>
            </w:r>
          </w:p>
        </w:tc>
      </w:tr>
      <w:tr>
        <w:tc>
          <w:tcPr>
            <w:tcW w:type="dxa" w:w="1984"/>
          </w:tcPr>
          <w:p>
            <w:pPr>
              <w:spacing w:lineRule="exact" w:line="600"/>
              <w:jc w:val="center"/>
            </w:pPr>
            <w:r/>
            <w:r>
              <w:rPr>
                <w:rFonts w:ascii="仿宋_GB2312" w:hAnsi="仿宋_GB2312" w:eastAsia="仿宋_GB2312"/>
                <w:b w:val="0"/>
                <w:color w:val="000000"/>
                <w:sz w:val="32"/>
              </w:rPr>
              <w:t>母公司</w:t>
            </w:r>
          </w:p>
        </w:tc>
        <w:tc>
          <w:tcPr>
            <w:tcW w:type="dxa" w:w="7087"/>
          </w:tcPr>
          <w:p>
            <w:pPr>
              <w:spacing w:lineRule="exact" w:line="600"/>
              <w:jc w:val="center"/>
            </w:pPr>
            <w:r/>
            <w:r>
              <w:rPr>
                <w:rFonts w:ascii="仿宋_GB2312" w:hAnsi="仿宋_GB2312" w:eastAsia="仿宋_GB2312"/>
                <w:b w:val="0"/>
                <w:color w:val="000000"/>
                <w:sz w:val="32"/>
              </w:rPr>
              <w:t>中材科技股份有限公司（002080.SZ）</w:t>
            </w:r>
          </w:p>
        </w:tc>
      </w:tr>
      <w:tr>
        <w:tc>
          <w:tcPr>
            <w:tcW w:type="dxa" w:w="1984"/>
          </w:tcPr>
          <w:p>
            <w:pPr>
              <w:spacing w:lineRule="exact" w:line="600"/>
              <w:jc w:val="center"/>
            </w:pPr>
            <w:r/>
            <w:r>
              <w:rPr>
                <w:rFonts w:ascii="仿宋_GB2312" w:hAnsi="仿宋_GB2312" w:eastAsia="仿宋_GB2312"/>
                <w:b w:val="0"/>
                <w:color w:val="000000"/>
                <w:sz w:val="32"/>
              </w:rPr>
              <w:t>实际控制人</w:t>
            </w:r>
          </w:p>
        </w:tc>
        <w:tc>
          <w:tcPr>
            <w:tcW w:type="dxa" w:w="7087"/>
          </w:tcPr>
          <w:p>
            <w:pPr>
              <w:spacing w:lineRule="exact" w:line="600"/>
              <w:jc w:val="center"/>
            </w:pPr>
            <w:r/>
            <w:r>
              <w:rPr>
                <w:rFonts w:ascii="仿宋_GB2312" w:hAnsi="仿宋_GB2312" w:eastAsia="仿宋_GB2312"/>
                <w:b w:val="0"/>
                <w:color w:val="000000"/>
                <w:sz w:val="32"/>
              </w:rPr>
              <w:t>国务院国资委（中国建材集团）</w:t>
            </w:r>
          </w:p>
        </w:tc>
      </w:tr>
      <w:tr>
        <w:tc>
          <w:tcPr>
            <w:tcW w:type="dxa" w:w="1984"/>
          </w:tcPr>
          <w:p>
            <w:pPr>
              <w:spacing w:lineRule="exact" w:line="600"/>
              <w:jc w:val="center"/>
            </w:pPr>
            <w:r/>
            <w:r>
              <w:rPr>
                <w:rFonts w:ascii="仿宋_GB2312" w:hAnsi="仿宋_GB2312" w:eastAsia="仿宋_GB2312"/>
                <w:b w:val="0"/>
                <w:color w:val="000000"/>
                <w:sz w:val="32"/>
              </w:rPr>
              <w:t>注册地</w:t>
            </w:r>
          </w:p>
        </w:tc>
        <w:tc>
          <w:tcPr>
            <w:tcW w:type="dxa" w:w="7087"/>
          </w:tcPr>
          <w:p>
            <w:pPr>
              <w:spacing w:lineRule="exact" w:line="600"/>
              <w:jc w:val="center"/>
            </w:pPr>
            <w:r/>
            <w:r>
              <w:rPr>
                <w:rFonts w:ascii="仿宋_GB2312" w:hAnsi="仿宋_GB2312" w:eastAsia="仿宋_GB2312"/>
                <w:b w:val="0"/>
                <w:color w:val="000000"/>
                <w:sz w:val="32"/>
              </w:rPr>
              <w:t>山东省泰安市</w:t>
            </w:r>
          </w:p>
        </w:tc>
      </w:tr>
      <w:tr>
        <w:tc>
          <w:tcPr>
            <w:tcW w:type="dxa" w:w="1984"/>
          </w:tcPr>
          <w:p>
            <w:pPr>
              <w:spacing w:lineRule="exact" w:line="600"/>
              <w:jc w:val="center"/>
            </w:pPr>
            <w:r/>
            <w:r>
              <w:rPr>
                <w:rFonts w:ascii="仿宋_GB2312" w:hAnsi="仿宋_GB2312" w:eastAsia="仿宋_GB2312"/>
                <w:b w:val="0"/>
                <w:color w:val="000000"/>
                <w:sz w:val="32"/>
              </w:rPr>
              <w:t>行业分类</w:t>
            </w:r>
          </w:p>
        </w:tc>
        <w:tc>
          <w:tcPr>
            <w:tcW w:type="dxa" w:w="7087"/>
          </w:tcPr>
          <w:p>
            <w:pPr>
              <w:spacing w:lineRule="exact" w:line="600"/>
              <w:jc w:val="center"/>
            </w:pPr>
            <w:r/>
            <w:r>
              <w:rPr>
                <w:rFonts w:ascii="仿宋_GB2312" w:hAnsi="仿宋_GB2312" w:eastAsia="仿宋_GB2312"/>
                <w:b w:val="0"/>
                <w:color w:val="000000"/>
                <w:sz w:val="32"/>
              </w:rPr>
              <w:t>非金属矿物制品业（玻璃纤维）</w:t>
            </w:r>
          </w:p>
        </w:tc>
      </w:tr>
      <w:tr>
        <w:tc>
          <w:tcPr>
            <w:tcW w:type="dxa" w:w="1984"/>
          </w:tcPr>
          <w:p>
            <w:pPr>
              <w:spacing w:lineRule="exact" w:line="600"/>
              <w:jc w:val="center"/>
            </w:pPr>
            <w:r/>
            <w:r>
              <w:rPr>
                <w:rFonts w:ascii="仿宋_GB2312" w:hAnsi="仿宋_GB2312" w:eastAsia="仿宋_GB2312"/>
                <w:b w:val="0"/>
                <w:color w:val="000000"/>
                <w:sz w:val="32"/>
              </w:rPr>
              <w:t>企业性质</w:t>
            </w:r>
          </w:p>
        </w:tc>
        <w:tc>
          <w:tcPr>
            <w:tcW w:type="dxa" w:w="7087"/>
          </w:tcPr>
          <w:p>
            <w:pPr>
              <w:spacing w:lineRule="exact" w:line="600"/>
              <w:jc w:val="center"/>
            </w:pPr>
            <w:r/>
            <w:r>
              <w:rPr>
                <w:rFonts w:ascii="仿宋_GB2312" w:hAnsi="仿宋_GB2312" w:eastAsia="仿宋_GB2312"/>
                <w:b w:val="0"/>
                <w:color w:val="000000"/>
                <w:sz w:val="32"/>
              </w:rPr>
              <w:t>中央企业控股（上市子公司）</w:t>
            </w:r>
          </w:p>
        </w:tc>
      </w:tr>
      <w:tr>
        <w:tc>
          <w:tcPr>
            <w:tcW w:type="dxa" w:w="1984"/>
          </w:tcPr>
          <w:p>
            <w:pPr>
              <w:spacing w:lineRule="exact" w:line="600"/>
              <w:jc w:val="center"/>
            </w:pPr>
            <w:r/>
            <w:r>
              <w:rPr>
                <w:rFonts w:ascii="仿宋_GB2312" w:hAnsi="仿宋_GB2312" w:eastAsia="仿宋_GB2312"/>
                <w:b w:val="0"/>
                <w:color w:val="000000"/>
                <w:sz w:val="32"/>
              </w:rPr>
              <w:t>全球地位</w:t>
            </w:r>
          </w:p>
        </w:tc>
        <w:tc>
          <w:tcPr>
            <w:tcW w:type="dxa" w:w="7087"/>
          </w:tcPr>
          <w:p>
            <w:pPr>
              <w:spacing w:lineRule="exact" w:line="600"/>
              <w:jc w:val="center"/>
            </w:pPr>
            <w:r/>
            <w:r>
              <w:rPr>
                <w:rFonts w:ascii="仿宋_GB2312" w:hAnsi="仿宋_GB2312" w:eastAsia="仿宋_GB2312"/>
                <w:b w:val="0"/>
                <w:color w:val="000000"/>
                <w:sz w:val="32"/>
              </w:rPr>
              <w:t>玻纤产能居全球前列</w:t>
            </w:r>
          </w:p>
        </w:tc>
      </w:tr>
    </w:tbl>
    <w:p>
      <w:pPr>
        <w:spacing w:lineRule="exact" w:line="600" w:before="120" w:after="120"/>
        <w:ind w:firstLine="420"/>
        <w:jc w:val="left"/>
      </w:pPr>
      <w:r>
        <w:rPr>
          <w:rFonts w:ascii="楷体_GB2312" w:hAnsi="楷体_GB2312" w:eastAsia="楷体_GB2312"/>
          <w:b w:val="0"/>
          <w:color w:val="000000"/>
          <w:sz w:val="32"/>
        </w:rPr>
        <w:t>（二）组织架构与股权结构</w:t>
      </w:r>
    </w:p>
    <w:p>
      <w:pPr>
        <w:spacing w:lineRule="exact" w:line="600" w:before="0" w:after="0"/>
        <w:ind w:firstLine="420"/>
        <w:jc w:val="both"/>
      </w:pPr>
      <w:r>
        <w:rPr>
          <w:rFonts w:ascii="仿宋_GB2312" w:hAnsi="仿宋_GB2312" w:eastAsia="仿宋_GB2312"/>
          <w:b w:val="0"/>
          <w:color w:val="000000"/>
          <w:sz w:val="32"/>
        </w:rPr>
        <w:t>公司由中材科技100%持股，中材科技控股股东为中国建材股份有限公司（中国建材集团核心上市平台），最终实际控制人为国务院国资委。央企背景赋予其在资本、技术、资源与信用方面的显著优势。</w:t>
      </w:r>
    </w:p>
    <w:p>
      <w:pPr>
        <w:spacing w:lineRule="exact" w:line="600" w:before="120" w:after="120"/>
        <w:ind w:firstLine="420"/>
        <w:jc w:val="left"/>
      </w:pPr>
      <w:r>
        <w:rPr>
          <w:rFonts w:ascii="楷体_GB2312" w:hAnsi="楷体_GB2312" w:eastAsia="楷体_GB2312"/>
          <w:b w:val="0"/>
          <w:color w:val="000000"/>
          <w:sz w:val="32"/>
        </w:rPr>
        <w:t>（三）历史沿革与发展</w:t>
      </w:r>
    </w:p>
    <w:p>
      <w:pPr>
        <w:spacing w:lineRule="exact" w:line="600" w:before="0" w:after="0"/>
        <w:ind w:firstLine="420"/>
        <w:jc w:val="both"/>
      </w:pPr>
      <w:r>
        <w:rPr>
          <w:rFonts w:ascii="仿宋_GB2312" w:hAnsi="仿宋_GB2312" w:eastAsia="仿宋_GB2312"/>
          <w:b w:val="0"/>
          <w:color w:val="000000"/>
          <w:sz w:val="32"/>
        </w:rPr>
        <w:t>泰山玻纤承继南京玻璃纤维研究设计院等技术资源，经多年发展形成从玻纤原丝、织物到特种纤维布的全系列能力，并在山东泰安、邹城及山西太原等地布局生产基地，持续扩大高端产能。</w:t>
      </w:r>
    </w:p>
    <w:p>
      <w:pPr>
        <w:spacing w:lineRule="exact" w:line="600" w:before="120" w:after="120"/>
        <w:ind w:firstLine="420"/>
        <w:jc w:val="left"/>
      </w:pPr>
      <w:r>
        <w:rPr>
          <w:rFonts w:ascii="楷体_GB2312" w:hAnsi="楷体_GB2312" w:eastAsia="楷体_GB2312"/>
          <w:b w:val="0"/>
          <w:color w:val="000000"/>
          <w:sz w:val="32"/>
        </w:rPr>
        <w:t>（四）企业定位与战略</w:t>
      </w:r>
    </w:p>
    <w:p>
      <w:pPr>
        <w:spacing w:lineRule="exact" w:line="600" w:before="0" w:after="0"/>
        <w:ind w:firstLine="420"/>
        <w:jc w:val="both"/>
      </w:pPr>
      <w:r>
        <w:rPr>
          <w:rFonts w:ascii="仿宋_GB2312" w:hAnsi="仿宋_GB2312" w:eastAsia="仿宋_GB2312"/>
          <w:b w:val="0"/>
          <w:color w:val="000000"/>
          <w:sz w:val="32"/>
        </w:rPr>
        <w:t>公司定位为全球领先的玻纤及复合材料供应商，战略上坚定"产品高端化"，向风电纱、热塑短纤、LFT纱、低介电/低膨胀特种纤维布等高附加值方向深度调整，服务新能源、电子电气、人工智能等新兴领域。</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（一）主营业务与产品</w:t>
      </w:r>
    </w:p>
    <w:p>
      <w:pPr>
        <w:spacing w:lineRule="exact" w:line="600" w:before="0" w:after="0"/>
        <w:ind w:firstLine="420"/>
        <w:jc w:val="both"/>
      </w:pPr>
      <w:r>
        <w:rPr>
          <w:rFonts w:ascii="仿宋_GB2312" w:hAnsi="仿宋_GB2312" w:eastAsia="仿宋_GB2312"/>
          <w:b w:val="0"/>
          <w:color w:val="000000"/>
          <w:sz w:val="32"/>
        </w:rPr>
        <w:t>主营各类热固性/热塑性玻纤材料、细纱及电子布、风电叶片用高模量纱及多轴向经编织物、高速覆铜板用Low-Dk产品、超低损耗低介电纤维布、封装用低膨胀纤维布、湿法毡、高锆耐碱玻纤等，广泛应用于汽车、家电、新能源、电子电气、建筑与基础设施等领域。</w:t>
      </w:r>
    </w:p>
    <w:p>
      <w:pPr>
        <w:spacing w:lineRule="exact" w:line="600" w:before="120" w:after="120"/>
        <w:ind w:firstLine="420"/>
        <w:jc w:val="left"/>
      </w:pPr>
      <w:r>
        <w:rPr>
          <w:rFonts w:ascii="楷体_GB2312" w:hAnsi="楷体_GB2312" w:eastAsia="楷体_GB2312"/>
          <w:b w:val="0"/>
          <w:color w:val="000000"/>
          <w:sz w:val="32"/>
        </w:rPr>
        <w:t>（二）市场与客户</w:t>
      </w:r>
    </w:p>
    <w:p>
      <w:pPr>
        <w:spacing w:lineRule="exact" w:line="600" w:before="0" w:after="0"/>
        <w:ind w:firstLine="420"/>
        <w:jc w:val="both"/>
      </w:pPr>
      <w:r>
        <w:rPr>
          <w:rFonts w:ascii="仿宋_GB2312" w:hAnsi="仿宋_GB2312" w:eastAsia="仿宋_GB2312"/>
          <w:b w:val="0"/>
          <w:color w:val="000000"/>
          <w:sz w:val="32"/>
        </w:rPr>
        <w:t>产品畅销国内并远销美国、欧盟、日韩、中东、东盟、南美等80多个国家和地区；在北美、南非设有驻外机构强化直销。高端产品出口占比近20%，客户覆盖风电、电子、汽车等头部企业。</w:t>
      </w:r>
    </w:p>
    <w:p>
      <w:pPr>
        <w:spacing w:lineRule="exact" w:line="600" w:before="120" w:after="120"/>
        <w:ind w:firstLine="420"/>
        <w:jc w:val="left"/>
      </w:pPr>
      <w:r>
        <w:rPr>
          <w:rFonts w:ascii="楷体_GB2312" w:hAnsi="楷体_GB2312" w:eastAsia="楷体_GB2312"/>
          <w:b w:val="0"/>
          <w:color w:val="000000"/>
          <w:sz w:val="32"/>
        </w:rPr>
        <w:t>（三）产能与技术布局</w:t>
      </w:r>
    </w:p>
    <w:p>
      <w:pPr>
        <w:spacing w:lineRule="exact" w:line="600" w:before="0" w:after="0"/>
        <w:ind w:firstLine="420"/>
        <w:jc w:val="both"/>
      </w:pPr>
      <w:r>
        <w:rPr>
          <w:rFonts w:ascii="仿宋_GB2312" w:hAnsi="仿宋_GB2312" w:eastAsia="仿宋_GB2312"/>
          <w:b w:val="0"/>
          <w:color w:val="000000"/>
          <w:sz w:val="32"/>
        </w:rPr>
        <w:t>玻璃纤维年产能超170万吨，2025年对外销售玻纤产品137万吨（历史新高）。太原基地一、二线投产，累计建成5条低介电/低膨胀特种纤维生产线；特种纤维布2025年销售1,917万米，全品类覆盖并获国内外头部客户认证。技术方面掌握低介电超细纱、大型池窑设计、纯氧燃烧等核心自主知识产权，居国际领先水平。</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（一）关键财务指标（中材科技公开披露口径）</w:t>
      </w:r>
    </w:p>
    <w:p>
      <w:pPr>
        <w:spacing w:lineRule="exact" w:line="600" w:before="0" w:after="0"/>
        <w:ind w:firstLine="420"/>
        <w:jc w:val="both"/>
      </w:pPr>
      <w:r>
        <w:rPr>
          <w:rFonts w:ascii="仿宋_GB2312" w:hAnsi="仿宋_GB2312" w:eastAsia="仿宋_GB2312"/>
          <w:b w:val="0"/>
          <w:color w:val="000000"/>
          <w:sz w:val="32"/>
        </w:rPr>
        <w:t>泰山玻纤为中材科技全资子公司，以下采用中材科技2025年年报及2026年一季报披露数据，并单列泰山玻纤分部经营数据。</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1984"/>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2025年</w:t>
            </w:r>
          </w:p>
        </w:tc>
        <w:tc>
          <w:tcPr>
            <w:tcW w:type="dxa" w:w="2268"/>
          </w:tcPr>
          <w:p>
            <w:pPr>
              <w:spacing w:lineRule="exact" w:line="600"/>
              <w:jc w:val="center"/>
            </w:pPr>
            <w:r/>
            <w:r>
              <w:rPr>
                <w:rFonts w:ascii="黑体" w:hAnsi="黑体" w:eastAsia="黑体"/>
                <w:b/>
                <w:color w:val="000000"/>
                <w:sz w:val="32"/>
              </w:rPr>
              <w:t>2026年Q1</w:t>
            </w:r>
          </w:p>
        </w:tc>
        <w:tc>
          <w:tcPr>
            <w:tcW w:type="dxa" w:w="1984"/>
          </w:tcPr>
          <w:p>
            <w:pPr>
              <w:spacing w:lineRule="exact" w:line="600"/>
              <w:jc w:val="center"/>
            </w:pPr>
            <w:r/>
            <w:r>
              <w:rPr>
                <w:rFonts w:ascii="黑体" w:hAnsi="黑体" w:eastAsia="黑体"/>
                <w:b/>
                <w:color w:val="000000"/>
                <w:sz w:val="32"/>
              </w:rPr>
              <w:t>说明</w:t>
            </w:r>
          </w:p>
        </w:tc>
      </w:tr>
      <w:tr>
        <w:tc>
          <w:tcPr>
            <w:tcW w:type="dxa" w:w="1984"/>
          </w:tcPr>
          <w:p>
            <w:pPr>
              <w:spacing w:lineRule="exact" w:line="600"/>
              <w:jc w:val="center"/>
            </w:pPr>
            <w:r/>
            <w:r>
              <w:rPr>
                <w:rFonts w:ascii="仿宋_GB2312" w:hAnsi="仿宋_GB2312" w:eastAsia="仿宋_GB2312"/>
                <w:b w:val="0"/>
                <w:color w:val="000000"/>
                <w:sz w:val="32"/>
              </w:rPr>
              <w:t>中材科技营收</w:t>
            </w:r>
          </w:p>
        </w:tc>
        <w:tc>
          <w:tcPr>
            <w:tcW w:type="dxa" w:w="2835"/>
          </w:tcPr>
          <w:p>
            <w:pPr>
              <w:spacing w:lineRule="exact" w:line="600"/>
              <w:jc w:val="center"/>
            </w:pPr>
            <w:r/>
            <w:r>
              <w:rPr>
                <w:rFonts w:ascii="仿宋_GB2312" w:hAnsi="仿宋_GB2312" w:eastAsia="仿宋_GB2312"/>
                <w:b w:val="0"/>
                <w:color w:val="000000"/>
                <w:sz w:val="32"/>
              </w:rPr>
              <w:t>302.0亿元(+26%)</w:t>
            </w:r>
          </w:p>
        </w:tc>
        <w:tc>
          <w:tcPr>
            <w:tcW w:type="dxa" w:w="2268"/>
          </w:tcPr>
          <w:p>
            <w:pPr>
              <w:spacing w:lineRule="exact" w:line="600"/>
              <w:jc w:val="center"/>
            </w:pPr>
            <w:r/>
            <w:r>
              <w:rPr>
                <w:rFonts w:ascii="仿宋_GB2312" w:hAnsi="仿宋_GB2312" w:eastAsia="仿宋_GB2312"/>
                <w:b w:val="0"/>
                <w:color w:val="000000"/>
                <w:sz w:val="32"/>
              </w:rPr>
              <w:t>68.5亿元(+24%)</w:t>
            </w:r>
          </w:p>
        </w:tc>
        <w:tc>
          <w:tcPr>
            <w:tcW w:type="dxa" w:w="1984"/>
          </w:tcPr>
          <w:p>
            <w:pPr>
              <w:spacing w:lineRule="exact" w:line="600"/>
              <w:jc w:val="center"/>
            </w:pPr>
            <w:r/>
            <w:r>
              <w:rPr>
                <w:rFonts w:ascii="仿宋_GB2312" w:hAnsi="仿宋_GB2312" w:eastAsia="仿宋_GB2312"/>
                <w:b w:val="0"/>
                <w:color w:val="000000"/>
                <w:sz w:val="32"/>
              </w:rPr>
              <w:t>整体口径</w:t>
            </w:r>
          </w:p>
        </w:tc>
      </w:tr>
      <w:tr>
        <w:tc>
          <w:tcPr>
            <w:tcW w:type="dxa" w:w="1984"/>
          </w:tcPr>
          <w:p>
            <w:pPr>
              <w:spacing w:lineRule="exact" w:line="600"/>
              <w:jc w:val="center"/>
            </w:pPr>
            <w:r/>
            <w:r>
              <w:rPr>
                <w:rFonts w:ascii="仿宋_GB2312" w:hAnsi="仿宋_GB2312" w:eastAsia="仿宋_GB2312"/>
                <w:b w:val="0"/>
                <w:color w:val="000000"/>
                <w:sz w:val="32"/>
              </w:rPr>
              <w:t>中材科技归母净利</w:t>
            </w:r>
          </w:p>
        </w:tc>
        <w:tc>
          <w:tcPr>
            <w:tcW w:type="dxa" w:w="2835"/>
          </w:tcPr>
          <w:p>
            <w:pPr>
              <w:spacing w:lineRule="exact" w:line="600"/>
              <w:jc w:val="center"/>
            </w:pPr>
            <w:r/>
            <w:r>
              <w:rPr>
                <w:rFonts w:ascii="仿宋_GB2312" w:hAnsi="仿宋_GB2312" w:eastAsia="仿宋_GB2312"/>
                <w:b w:val="0"/>
                <w:color w:val="000000"/>
                <w:sz w:val="32"/>
              </w:rPr>
              <w:t>18.2亿元(+104%)</w:t>
            </w:r>
          </w:p>
        </w:tc>
        <w:tc>
          <w:tcPr>
            <w:tcW w:type="dxa" w:w="2268"/>
          </w:tcPr>
          <w:p>
            <w:pPr>
              <w:spacing w:lineRule="exact" w:line="600"/>
              <w:jc w:val="center"/>
            </w:pPr>
            <w:r/>
            <w:r>
              <w:rPr>
                <w:rFonts w:ascii="仿宋_GB2312" w:hAnsi="仿宋_GB2312" w:eastAsia="仿宋_GB2312"/>
                <w:b w:val="0"/>
                <w:color w:val="000000"/>
                <w:sz w:val="32"/>
              </w:rPr>
              <w:t>5.1亿元(+40%)</w:t>
            </w:r>
          </w:p>
        </w:tc>
        <w:tc>
          <w:tcPr>
            <w:tcW w:type="dxa" w:w="1984"/>
          </w:tcPr>
          <w:p>
            <w:pPr>
              <w:spacing w:lineRule="exact" w:line="600"/>
              <w:jc w:val="center"/>
            </w:pPr>
            <w:r/>
            <w:r>
              <w:rPr>
                <w:rFonts w:ascii="仿宋_GB2312" w:hAnsi="仿宋_GB2312" w:eastAsia="仿宋_GB2312"/>
                <w:b w:val="0"/>
                <w:color w:val="000000"/>
                <w:sz w:val="32"/>
              </w:rPr>
              <w:t>整体口径</w:t>
            </w:r>
          </w:p>
        </w:tc>
      </w:tr>
      <w:tr>
        <w:tc>
          <w:tcPr>
            <w:tcW w:type="dxa" w:w="1984"/>
          </w:tcPr>
          <w:p>
            <w:pPr>
              <w:spacing w:lineRule="exact" w:line="600"/>
              <w:jc w:val="center"/>
            </w:pPr>
            <w:r/>
            <w:r>
              <w:rPr>
                <w:rFonts w:ascii="仿宋_GB2312" w:hAnsi="仿宋_GB2312" w:eastAsia="仿宋_GB2312"/>
                <w:b w:val="0"/>
                <w:color w:val="000000"/>
                <w:sz w:val="32"/>
              </w:rPr>
              <w:t>中材科技毛利率</w:t>
            </w:r>
          </w:p>
        </w:tc>
        <w:tc>
          <w:tcPr>
            <w:tcW w:type="dxa" w:w="2835"/>
          </w:tcPr>
          <w:p>
            <w:pPr>
              <w:spacing w:lineRule="exact" w:line="600"/>
              <w:jc w:val="center"/>
            </w:pPr>
            <w:r/>
            <w:r>
              <w:rPr>
                <w:rFonts w:ascii="仿宋_GB2312" w:hAnsi="仿宋_GB2312" w:eastAsia="仿宋_GB2312"/>
                <w:b w:val="0"/>
                <w:color w:val="000000"/>
                <w:sz w:val="32"/>
              </w:rPr>
              <w:t>18.9%</w:t>
            </w:r>
          </w:p>
        </w:tc>
        <w:tc>
          <w:tcPr>
            <w:tcW w:type="dxa" w:w="2268"/>
          </w:tcPr>
          <w:p>
            <w:pPr>
              <w:spacing w:lineRule="exact" w:line="600"/>
              <w:jc w:val="center"/>
            </w:pPr>
            <w:r/>
            <w:r>
              <w:rPr>
                <w:rFonts w:ascii="仿宋_GB2312" w:hAnsi="仿宋_GB2312" w:eastAsia="仿宋_GB2312"/>
                <w:b w:val="0"/>
                <w:color w:val="000000"/>
                <w:sz w:val="32"/>
              </w:rPr>
              <w:t>20.9%</w:t>
            </w:r>
          </w:p>
        </w:tc>
        <w:tc>
          <w:tcPr>
            <w:tcW w:type="dxa" w:w="1984"/>
          </w:tcPr>
          <w:p>
            <w:pPr>
              <w:spacing w:lineRule="exact" w:line="600"/>
              <w:jc w:val="center"/>
            </w:pPr>
            <w:r/>
            <w:r>
              <w:rPr>
                <w:rFonts w:ascii="仿宋_GB2312" w:hAnsi="仿宋_GB2312" w:eastAsia="仿宋_GB2312"/>
                <w:b w:val="0"/>
                <w:color w:val="000000"/>
                <w:sz w:val="32"/>
              </w:rPr>
              <w:t>销售毛利率</w:t>
            </w:r>
          </w:p>
        </w:tc>
      </w:tr>
      <w:tr>
        <w:tc>
          <w:tcPr>
            <w:tcW w:type="dxa" w:w="1984"/>
          </w:tcPr>
          <w:p>
            <w:pPr>
              <w:spacing w:lineRule="exact" w:line="600"/>
              <w:jc w:val="center"/>
            </w:pPr>
            <w:r/>
            <w:r>
              <w:rPr>
                <w:rFonts w:ascii="仿宋_GB2312" w:hAnsi="仿宋_GB2312" w:eastAsia="仿宋_GB2312"/>
                <w:b w:val="0"/>
                <w:color w:val="000000"/>
                <w:sz w:val="32"/>
              </w:rPr>
              <w:t>玻纤销量</w:t>
            </w:r>
          </w:p>
        </w:tc>
        <w:tc>
          <w:tcPr>
            <w:tcW w:type="dxa" w:w="2835"/>
          </w:tcPr>
          <w:p>
            <w:pPr>
              <w:spacing w:lineRule="exact" w:line="600"/>
              <w:jc w:val="center"/>
            </w:pPr>
            <w:r/>
            <w:r>
              <w:rPr>
                <w:rFonts w:ascii="仿宋_GB2312" w:hAnsi="仿宋_GB2312" w:eastAsia="仿宋_GB2312"/>
                <w:b w:val="0"/>
                <w:color w:val="000000"/>
                <w:sz w:val="32"/>
              </w:rPr>
              <w:t>137万吨</w:t>
            </w:r>
          </w:p>
        </w:tc>
        <w:tc>
          <w:tcPr>
            <w:tcW w:type="dxa" w:w="2268"/>
          </w:tcPr>
          <w:p>
            <w:pPr>
              <w:spacing w:lineRule="exact" w:line="600"/>
              <w:jc w:val="center"/>
            </w:pPr>
            <w:r/>
            <w:r>
              <w:rPr>
                <w:rFonts w:ascii="仿宋_GB2312" w:hAnsi="仿宋_GB2312" w:eastAsia="仿宋_GB2312"/>
                <w:b w:val="0"/>
                <w:color w:val="000000"/>
                <w:sz w:val="32"/>
              </w:rPr>
              <w:t>—</w:t>
            </w:r>
          </w:p>
        </w:tc>
        <w:tc>
          <w:tcPr>
            <w:tcW w:type="dxa" w:w="1984"/>
          </w:tcPr>
          <w:p>
            <w:pPr>
              <w:spacing w:lineRule="exact" w:line="600"/>
              <w:jc w:val="center"/>
            </w:pPr>
            <w:r/>
            <w:r>
              <w:rPr>
                <w:rFonts w:ascii="仿宋_GB2312" w:hAnsi="仿宋_GB2312" w:eastAsia="仿宋_GB2312"/>
                <w:b w:val="0"/>
                <w:color w:val="000000"/>
                <w:sz w:val="32"/>
              </w:rPr>
              <w:t>泰山玻纤分部</w:t>
            </w:r>
          </w:p>
        </w:tc>
      </w:tr>
      <w:tr>
        <w:tc>
          <w:tcPr>
            <w:tcW w:type="dxa" w:w="1984"/>
          </w:tcPr>
          <w:p>
            <w:pPr>
              <w:spacing w:lineRule="exact" w:line="600"/>
              <w:jc w:val="center"/>
            </w:pPr>
            <w:r/>
            <w:r>
              <w:rPr>
                <w:rFonts w:ascii="仿宋_GB2312" w:hAnsi="仿宋_GB2312" w:eastAsia="仿宋_GB2312"/>
                <w:b w:val="0"/>
                <w:color w:val="000000"/>
                <w:sz w:val="32"/>
              </w:rPr>
              <w:t>玻纤产品收入</w:t>
            </w:r>
          </w:p>
        </w:tc>
        <w:tc>
          <w:tcPr>
            <w:tcW w:type="dxa" w:w="2835"/>
          </w:tcPr>
          <w:p>
            <w:pPr>
              <w:spacing w:lineRule="exact" w:line="600"/>
              <w:jc w:val="center"/>
            </w:pPr>
            <w:r/>
            <w:r>
              <w:rPr>
                <w:rFonts w:ascii="仿宋_GB2312" w:hAnsi="仿宋_GB2312" w:eastAsia="仿宋_GB2312"/>
                <w:b w:val="0"/>
                <w:color w:val="000000"/>
                <w:sz w:val="32"/>
              </w:rPr>
              <w:t>89亿元(+15%)</w:t>
            </w:r>
          </w:p>
        </w:tc>
        <w:tc>
          <w:tcPr>
            <w:tcW w:type="dxa" w:w="2268"/>
          </w:tcPr>
          <w:p>
            <w:pPr>
              <w:spacing w:lineRule="exact" w:line="600"/>
              <w:jc w:val="center"/>
            </w:pPr>
            <w:r/>
            <w:r>
              <w:rPr>
                <w:rFonts w:ascii="仿宋_GB2312" w:hAnsi="仿宋_GB2312" w:eastAsia="仿宋_GB2312"/>
                <w:b w:val="0"/>
                <w:color w:val="000000"/>
                <w:sz w:val="32"/>
              </w:rPr>
              <w:t>—</w:t>
            </w:r>
          </w:p>
        </w:tc>
        <w:tc>
          <w:tcPr>
            <w:tcW w:type="dxa" w:w="1984"/>
          </w:tcPr>
          <w:p>
            <w:pPr>
              <w:spacing w:lineRule="exact" w:line="600"/>
              <w:jc w:val="center"/>
            </w:pPr>
            <w:r/>
            <w:r>
              <w:rPr>
                <w:rFonts w:ascii="仿宋_GB2312" w:hAnsi="仿宋_GB2312" w:eastAsia="仿宋_GB2312"/>
                <w:b w:val="0"/>
                <w:color w:val="000000"/>
                <w:sz w:val="32"/>
              </w:rPr>
              <w:t>泰山玻纤分部</w:t>
            </w:r>
          </w:p>
        </w:tc>
      </w:tr>
      <w:tr>
        <w:tc>
          <w:tcPr>
            <w:tcW w:type="dxa" w:w="1984"/>
          </w:tcPr>
          <w:p>
            <w:pPr>
              <w:spacing w:lineRule="exact" w:line="600"/>
              <w:jc w:val="center"/>
            </w:pPr>
            <w:r/>
            <w:r>
              <w:rPr>
                <w:rFonts w:ascii="仿宋_GB2312" w:hAnsi="仿宋_GB2312" w:eastAsia="仿宋_GB2312"/>
                <w:b w:val="0"/>
                <w:color w:val="000000"/>
                <w:sz w:val="32"/>
              </w:rPr>
              <w:t>玻纤归母净利</w:t>
            </w:r>
          </w:p>
        </w:tc>
        <w:tc>
          <w:tcPr>
            <w:tcW w:type="dxa" w:w="2835"/>
          </w:tcPr>
          <w:p>
            <w:pPr>
              <w:spacing w:lineRule="exact" w:line="600"/>
              <w:jc w:val="center"/>
            </w:pPr>
            <w:r/>
            <w:r>
              <w:rPr>
                <w:rFonts w:ascii="仿宋_GB2312" w:hAnsi="仿宋_GB2312" w:eastAsia="仿宋_GB2312"/>
                <w:b w:val="0"/>
                <w:color w:val="000000"/>
                <w:sz w:val="32"/>
              </w:rPr>
              <w:t>10.5亿元(+187%)</w:t>
            </w:r>
          </w:p>
        </w:tc>
        <w:tc>
          <w:tcPr>
            <w:tcW w:type="dxa" w:w="2268"/>
          </w:tcPr>
          <w:p>
            <w:pPr>
              <w:spacing w:lineRule="exact" w:line="600"/>
              <w:jc w:val="center"/>
            </w:pPr>
            <w:r/>
            <w:r>
              <w:rPr>
                <w:rFonts w:ascii="仿宋_GB2312" w:hAnsi="仿宋_GB2312" w:eastAsia="仿宋_GB2312"/>
                <w:b w:val="0"/>
                <w:color w:val="000000"/>
                <w:sz w:val="32"/>
              </w:rPr>
              <w:t>—</w:t>
            </w:r>
          </w:p>
        </w:tc>
        <w:tc>
          <w:tcPr>
            <w:tcW w:type="dxa" w:w="1984"/>
          </w:tcPr>
          <w:p>
            <w:pPr>
              <w:spacing w:lineRule="exact" w:line="600"/>
              <w:jc w:val="center"/>
            </w:pPr>
            <w:r/>
            <w:r>
              <w:rPr>
                <w:rFonts w:ascii="仿宋_GB2312" w:hAnsi="仿宋_GB2312" w:eastAsia="仿宋_GB2312"/>
                <w:b w:val="0"/>
                <w:color w:val="000000"/>
                <w:sz w:val="32"/>
              </w:rPr>
              <w:t>泰山玻纤分部</w:t>
            </w:r>
          </w:p>
        </w:tc>
      </w:tr>
      <w:tr>
        <w:tc>
          <w:tcPr>
            <w:tcW w:type="dxa" w:w="1984"/>
          </w:tcPr>
          <w:p>
            <w:pPr>
              <w:spacing w:lineRule="exact" w:line="600"/>
              <w:jc w:val="center"/>
            </w:pPr>
            <w:r/>
            <w:r>
              <w:rPr>
                <w:rFonts w:ascii="仿宋_GB2312" w:hAnsi="仿宋_GB2312" w:eastAsia="仿宋_GB2312"/>
                <w:b w:val="0"/>
                <w:color w:val="000000"/>
                <w:sz w:val="32"/>
              </w:rPr>
              <w:t>玻纤产能</w:t>
            </w:r>
          </w:p>
        </w:tc>
        <w:tc>
          <w:tcPr>
            <w:tcW w:type="dxa" w:w="2835"/>
          </w:tcPr>
          <w:p>
            <w:pPr>
              <w:spacing w:lineRule="exact" w:line="600"/>
              <w:jc w:val="center"/>
            </w:pPr>
            <w:r/>
            <w:r>
              <w:rPr>
                <w:rFonts w:ascii="仿宋_GB2312" w:hAnsi="仿宋_GB2312" w:eastAsia="仿宋_GB2312"/>
                <w:b w:val="0"/>
                <w:color w:val="000000"/>
                <w:sz w:val="32"/>
              </w:rPr>
              <w:t>超170万吨/年</w:t>
            </w:r>
          </w:p>
        </w:tc>
        <w:tc>
          <w:tcPr>
            <w:tcW w:type="dxa" w:w="2268"/>
          </w:tcPr>
          <w:p>
            <w:pPr>
              <w:spacing w:lineRule="exact" w:line="600"/>
              <w:jc w:val="center"/>
            </w:pPr>
            <w:r/>
            <w:r>
              <w:rPr>
                <w:rFonts w:ascii="仿宋_GB2312" w:hAnsi="仿宋_GB2312" w:eastAsia="仿宋_GB2312"/>
                <w:b w:val="0"/>
                <w:color w:val="000000"/>
                <w:sz w:val="32"/>
              </w:rPr>
              <w:t>—</w:t>
            </w:r>
          </w:p>
        </w:tc>
        <w:tc>
          <w:tcPr>
            <w:tcW w:type="dxa" w:w="1984"/>
          </w:tcPr>
          <w:p>
            <w:pPr>
              <w:spacing w:lineRule="exact" w:line="600"/>
              <w:jc w:val="center"/>
            </w:pPr>
            <w:r/>
            <w:r>
              <w:rPr>
                <w:rFonts w:ascii="仿宋_GB2312" w:hAnsi="仿宋_GB2312" w:eastAsia="仿宋_GB2312"/>
                <w:b w:val="0"/>
                <w:color w:val="000000"/>
                <w:sz w:val="32"/>
              </w:rPr>
              <w:t>太原基地投产</w:t>
            </w:r>
          </w:p>
        </w:tc>
      </w:tr>
    </w:tbl>
    <w:p>
      <w:pPr>
        <w:spacing w:lineRule="exact" w:line="600" w:before="120" w:after="120"/>
        <w:ind w:firstLine="420"/>
        <w:jc w:val="left"/>
      </w:pPr>
      <w:r>
        <w:rPr>
          <w:rFonts w:ascii="楷体_GB2312" w:hAnsi="楷体_GB2312" w:eastAsia="楷体_GB2312"/>
          <w:b w:val="0"/>
          <w:color w:val="000000"/>
          <w:sz w:val="32"/>
        </w:rPr>
        <w:t>（二）盈利与现金流特征</w:t>
      </w:r>
    </w:p>
    <w:p>
      <w:pPr>
        <w:spacing w:lineRule="exact" w:line="600" w:before="0" w:after="0"/>
        <w:ind w:firstLine="420"/>
        <w:jc w:val="both"/>
      </w:pPr>
      <w:r>
        <w:rPr>
          <w:rFonts w:ascii="仿宋_GB2312" w:hAnsi="仿宋_GB2312" w:eastAsia="仿宋_GB2312"/>
          <w:b w:val="0"/>
          <w:color w:val="000000"/>
          <w:sz w:val="32"/>
        </w:rPr>
        <w:t>2025年玻纤行业景气回升，高端产品占比提升带动销售均价同比+14%、毛利率同比提升约9个百分点，风电织物、高端热塑纱、特种纤维布成为利润增长核心引擎。公司拟定增不超过44.8亿元投建低介电/超低损耗纤维布项目，资本开支与产能扩张并行。</w:t>
      </w:r>
    </w:p>
    <w:p>
      <w:pPr>
        <w:spacing w:lineRule="exact" w:line="600" w:before="120" w:after="120"/>
        <w:ind w:firstLine="420"/>
        <w:jc w:val="left"/>
      </w:pPr>
      <w:r>
        <w:rPr>
          <w:rFonts w:ascii="黑体" w:hAnsi="黑体" w:eastAsia="黑体"/>
          <w:b w:val="0"/>
          <w:color w:val="000000"/>
          <w:sz w:val="32"/>
        </w:rPr>
        <w:t>四、公司治理、管理与人力的分析</w:t>
      </w:r>
    </w:p>
    <w:p>
      <w:pPr>
        <w:spacing w:lineRule="exact" w:line="600" w:before="0" w:after="0"/>
        <w:ind w:firstLine="420"/>
        <w:jc w:val="both"/>
      </w:pPr>
      <w:r>
        <w:rPr>
          <w:rFonts w:ascii="仿宋_GB2312" w:hAnsi="仿宋_GB2312" w:eastAsia="仿宋_GB2312"/>
          <w:b w:val="0"/>
          <w:color w:val="000000"/>
          <w:sz w:val="32"/>
        </w:rPr>
        <w:t>作为央企控股上市子公司，公司具备规范的现代公司治理体系，党建与"三重一大"决策机制健全，风控、合规与内控制度完善。依托中国建材集团与中材科技的技术与人才平台，研发与国际化管理团队实力雄厚，支撑其全球竞争地位。</w:t>
      </w:r>
    </w:p>
    <w:p>
      <w:pPr>
        <w:spacing w:lineRule="exact" w:line="600" w:before="120" w:after="120"/>
        <w:ind w:firstLine="420"/>
        <w:jc w:val="left"/>
      </w:pPr>
      <w:r>
        <w:rPr>
          <w:rFonts w:ascii="黑体" w:hAnsi="黑体" w:eastAsia="黑体"/>
          <w:b w:val="0"/>
          <w:color w:val="000000"/>
          <w:sz w:val="32"/>
        </w:rPr>
        <w:t>五、核心竞争力分析</w:t>
      </w:r>
    </w:p>
    <w:tbl>
      <w:tblPr>
        <w:tblStyle w:val="TableGrid"/>
        <w:tblW w:type="auto" w:w="0"/>
        <w:jc w:val="center"/>
        <w:tblLook w:firstColumn="1" w:firstRow="1" w:lastColumn="0" w:lastRow="0" w:noHBand="0" w:noVBand="1" w:val="04A0"/>
      </w:tblPr>
      <w:tblGrid>
        <w:gridCol w:w="4422"/>
        <w:gridCol w:w="4422"/>
      </w:tblGrid>
      <w:tr>
        <w:tc>
          <w:tcPr>
            <w:tcW w:type="dxa" w:w="1984"/>
          </w:tcPr>
          <w:p>
            <w:pPr>
              <w:spacing w:lineRule="exact" w:line="600"/>
              <w:jc w:val="center"/>
            </w:pPr>
            <w:r/>
            <w:r>
              <w:rPr>
                <w:rFonts w:ascii="黑体" w:hAnsi="黑体" w:eastAsia="黑体"/>
                <w:b/>
                <w:color w:val="000000"/>
                <w:sz w:val="32"/>
              </w:rPr>
              <w:t>核心竞争力</w:t>
            </w:r>
          </w:p>
        </w:tc>
        <w:tc>
          <w:tcPr>
            <w:tcW w:type="dxa" w:w="7087"/>
          </w:tcPr>
          <w:p>
            <w:pPr>
              <w:spacing w:lineRule="exact" w:line="600"/>
              <w:jc w:val="center"/>
            </w:pPr>
            <w:r/>
            <w:r>
              <w:rPr>
                <w:rFonts w:ascii="黑体" w:hAnsi="黑体" w:eastAsia="黑体"/>
                <w:b/>
                <w:color w:val="000000"/>
                <w:sz w:val="32"/>
              </w:rPr>
              <w:t>具体表现</w:t>
            </w:r>
          </w:p>
        </w:tc>
      </w:tr>
      <w:tr>
        <w:tc>
          <w:tcPr>
            <w:tcW w:type="dxa" w:w="1984"/>
          </w:tcPr>
          <w:p>
            <w:pPr>
              <w:spacing w:lineRule="exact" w:line="600"/>
              <w:jc w:val="center"/>
            </w:pPr>
            <w:r/>
            <w:r>
              <w:rPr>
                <w:rFonts w:ascii="仿宋_GB2312" w:hAnsi="仿宋_GB2312" w:eastAsia="仿宋_GB2312"/>
                <w:b w:val="0"/>
                <w:color w:val="000000"/>
                <w:sz w:val="32"/>
              </w:rPr>
              <w:t>规模全球领先</w:t>
            </w:r>
          </w:p>
        </w:tc>
        <w:tc>
          <w:tcPr>
            <w:tcW w:type="dxa" w:w="7087"/>
          </w:tcPr>
          <w:p>
            <w:pPr>
              <w:spacing w:lineRule="exact" w:line="600"/>
              <w:jc w:val="center"/>
            </w:pPr>
            <w:r/>
            <w:r>
              <w:rPr>
                <w:rFonts w:ascii="仿宋_GB2312" w:hAnsi="仿宋_GB2312" w:eastAsia="仿宋_GB2312"/>
                <w:b w:val="0"/>
                <w:color w:val="000000"/>
                <w:sz w:val="32"/>
              </w:rPr>
              <w:t>玻纤产能超170万吨/年，销量137万吨</w:t>
            </w:r>
          </w:p>
        </w:tc>
      </w:tr>
      <w:tr>
        <w:tc>
          <w:tcPr>
            <w:tcW w:type="dxa" w:w="1984"/>
          </w:tcPr>
          <w:p>
            <w:pPr>
              <w:spacing w:lineRule="exact" w:line="600"/>
              <w:jc w:val="center"/>
            </w:pPr>
            <w:r/>
            <w:r>
              <w:rPr>
                <w:rFonts w:ascii="仿宋_GB2312" w:hAnsi="仿宋_GB2312" w:eastAsia="仿宋_GB2312"/>
                <w:b w:val="0"/>
                <w:color w:val="000000"/>
                <w:sz w:val="32"/>
              </w:rPr>
              <w:t>技术壁垒</w:t>
            </w:r>
          </w:p>
        </w:tc>
        <w:tc>
          <w:tcPr>
            <w:tcW w:type="dxa" w:w="7087"/>
          </w:tcPr>
          <w:p>
            <w:pPr>
              <w:spacing w:lineRule="exact" w:line="600"/>
              <w:jc w:val="center"/>
            </w:pPr>
            <w:r/>
            <w:r>
              <w:rPr>
                <w:rFonts w:ascii="仿宋_GB2312" w:hAnsi="仿宋_GB2312" w:eastAsia="仿宋_GB2312"/>
                <w:b w:val="0"/>
                <w:color w:val="000000"/>
                <w:sz w:val="32"/>
              </w:rPr>
              <w:t>低介电/低膨胀特种纤维全品类，国际领先</w:t>
            </w:r>
          </w:p>
        </w:tc>
      </w:tr>
      <w:tr>
        <w:tc>
          <w:tcPr>
            <w:tcW w:type="dxa" w:w="1984"/>
          </w:tcPr>
          <w:p>
            <w:pPr>
              <w:spacing w:lineRule="exact" w:line="600"/>
              <w:jc w:val="center"/>
            </w:pPr>
            <w:r/>
            <w:r>
              <w:rPr>
                <w:rFonts w:ascii="仿宋_GB2312" w:hAnsi="仿宋_GB2312" w:eastAsia="仿宋_GB2312"/>
                <w:b w:val="0"/>
                <w:color w:val="000000"/>
                <w:sz w:val="32"/>
              </w:rPr>
              <w:t>央企背景</w:t>
            </w:r>
          </w:p>
        </w:tc>
        <w:tc>
          <w:tcPr>
            <w:tcW w:type="dxa" w:w="7087"/>
          </w:tcPr>
          <w:p>
            <w:pPr>
              <w:spacing w:lineRule="exact" w:line="600"/>
              <w:jc w:val="center"/>
            </w:pPr>
            <w:r/>
            <w:r>
              <w:rPr>
                <w:rFonts w:ascii="仿宋_GB2312" w:hAnsi="仿宋_GB2312" w:eastAsia="仿宋_GB2312"/>
                <w:b w:val="0"/>
                <w:color w:val="000000"/>
                <w:sz w:val="32"/>
              </w:rPr>
              <w:t>中国建材集团资本、资源与信用支持</w:t>
            </w:r>
          </w:p>
        </w:tc>
      </w:tr>
      <w:tr>
        <w:tc>
          <w:tcPr>
            <w:tcW w:type="dxa" w:w="1984"/>
          </w:tcPr>
          <w:p>
            <w:pPr>
              <w:spacing w:lineRule="exact" w:line="600"/>
              <w:jc w:val="center"/>
            </w:pPr>
            <w:r/>
            <w:r>
              <w:rPr>
                <w:rFonts w:ascii="仿宋_GB2312" w:hAnsi="仿宋_GB2312" w:eastAsia="仿宋_GB2312"/>
                <w:b w:val="0"/>
                <w:color w:val="000000"/>
                <w:sz w:val="32"/>
              </w:rPr>
              <w:t>高端化</w:t>
            </w:r>
          </w:p>
        </w:tc>
        <w:tc>
          <w:tcPr>
            <w:tcW w:type="dxa" w:w="7087"/>
          </w:tcPr>
          <w:p>
            <w:pPr>
              <w:spacing w:lineRule="exact" w:line="600"/>
              <w:jc w:val="center"/>
            </w:pPr>
            <w:r/>
            <w:r>
              <w:rPr>
                <w:rFonts w:ascii="仿宋_GB2312" w:hAnsi="仿宋_GB2312" w:eastAsia="仿宋_GB2312"/>
                <w:b w:val="0"/>
                <w:color w:val="000000"/>
                <w:sz w:val="32"/>
              </w:rPr>
              <w:t>风电纱/LFT纱全球市占率第一，结构持续优化</w:t>
            </w:r>
          </w:p>
        </w:tc>
      </w:tr>
      <w:tr>
        <w:tc>
          <w:tcPr>
            <w:tcW w:type="dxa" w:w="1984"/>
          </w:tcPr>
          <w:p>
            <w:pPr>
              <w:spacing w:lineRule="exact" w:line="600"/>
              <w:jc w:val="center"/>
            </w:pPr>
            <w:r/>
            <w:r>
              <w:rPr>
                <w:rFonts w:ascii="仿宋_GB2312" w:hAnsi="仿宋_GB2312" w:eastAsia="仿宋_GB2312"/>
                <w:b w:val="0"/>
                <w:color w:val="000000"/>
                <w:sz w:val="32"/>
              </w:rPr>
              <w:t>全球布局</w:t>
            </w:r>
          </w:p>
        </w:tc>
        <w:tc>
          <w:tcPr>
            <w:tcW w:type="dxa" w:w="7087"/>
          </w:tcPr>
          <w:p>
            <w:pPr>
              <w:spacing w:lineRule="exact" w:line="600"/>
              <w:jc w:val="center"/>
            </w:pPr>
            <w:r/>
            <w:r>
              <w:rPr>
                <w:rFonts w:ascii="仿宋_GB2312" w:hAnsi="仿宋_GB2312" w:eastAsia="仿宋_GB2312"/>
                <w:b w:val="0"/>
                <w:color w:val="000000"/>
                <w:sz w:val="32"/>
              </w:rPr>
              <w:t>出口80余国，海外基地与客户认证</w:t>
            </w:r>
          </w:p>
        </w:tc>
      </w:tr>
    </w:tbl>
    <w:p>
      <w:pPr>
        <w:spacing w:lineRule="exact" w:line="600" w:before="120" w:after="120"/>
        <w:ind w:firstLine="420"/>
        <w:jc w:val="left"/>
      </w:pPr>
      <w:r>
        <w:rPr>
          <w:rFonts w:ascii="黑体" w:hAnsi="黑体" w:eastAsia="黑体"/>
          <w:b w:val="0"/>
          <w:color w:val="000000"/>
          <w:sz w:val="32"/>
        </w:rPr>
        <w:t>六、风险分析</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风险类别</w:t>
            </w:r>
          </w:p>
        </w:tc>
        <w:tc>
          <w:tcPr>
            <w:tcW w:type="dxa" w:w="4535"/>
          </w:tcPr>
          <w:p>
            <w:pPr>
              <w:spacing w:lineRule="exact" w:line="600"/>
              <w:jc w:val="center"/>
            </w:pPr>
            <w:r/>
            <w:r>
              <w:rPr>
                <w:rFonts w:ascii="黑体" w:hAnsi="黑体" w:eastAsia="黑体"/>
                <w:b/>
                <w:color w:val="000000"/>
                <w:sz w:val="32"/>
              </w:rPr>
              <w:t>风险描述</w:t>
            </w:r>
          </w:p>
        </w:tc>
        <w:tc>
          <w:tcPr>
            <w:tcW w:type="dxa" w:w="2835"/>
          </w:tcPr>
          <w:p>
            <w:pPr>
              <w:spacing w:lineRule="exact" w:line="600"/>
              <w:jc w:val="center"/>
            </w:pPr>
            <w:r/>
            <w:r>
              <w:rPr>
                <w:rFonts w:ascii="黑体" w:hAnsi="黑体" w:eastAsia="黑体"/>
                <w:b/>
                <w:color w:val="000000"/>
                <w:sz w:val="32"/>
              </w:rPr>
              <w:t>应对</w:t>
            </w:r>
          </w:p>
        </w:tc>
      </w:tr>
      <w:tr>
        <w:tc>
          <w:tcPr>
            <w:tcW w:type="dxa" w:w="1701"/>
          </w:tcPr>
          <w:p>
            <w:pPr>
              <w:spacing w:lineRule="exact" w:line="600"/>
              <w:jc w:val="center"/>
            </w:pPr>
            <w:r/>
            <w:r>
              <w:rPr>
                <w:rFonts w:ascii="仿宋_GB2312" w:hAnsi="仿宋_GB2312" w:eastAsia="仿宋_GB2312"/>
                <w:b w:val="0"/>
                <w:color w:val="000000"/>
                <w:sz w:val="32"/>
              </w:rPr>
              <w:t>周期波动</w:t>
            </w:r>
          </w:p>
        </w:tc>
        <w:tc>
          <w:tcPr>
            <w:tcW w:type="dxa" w:w="4535"/>
          </w:tcPr>
          <w:p>
            <w:pPr>
              <w:spacing w:lineRule="exact" w:line="600"/>
              <w:jc w:val="center"/>
            </w:pPr>
            <w:r/>
            <w:r>
              <w:rPr>
                <w:rFonts w:ascii="仿宋_GB2312" w:hAnsi="仿宋_GB2312" w:eastAsia="仿宋_GB2312"/>
                <w:b w:val="0"/>
                <w:color w:val="000000"/>
                <w:sz w:val="32"/>
              </w:rPr>
              <w:t>玻纤价格随供需周期波动</w:t>
            </w:r>
          </w:p>
        </w:tc>
        <w:tc>
          <w:tcPr>
            <w:tcW w:type="dxa" w:w="2835"/>
          </w:tcPr>
          <w:p>
            <w:pPr>
              <w:spacing w:lineRule="exact" w:line="600"/>
              <w:jc w:val="center"/>
            </w:pPr>
            <w:r/>
            <w:r>
              <w:rPr>
                <w:rFonts w:ascii="仿宋_GB2312" w:hAnsi="仿宋_GB2312" w:eastAsia="仿宋_GB2312"/>
                <w:b w:val="0"/>
                <w:color w:val="000000"/>
                <w:sz w:val="32"/>
              </w:rPr>
              <w:t>高端化平滑周期</w:t>
            </w:r>
          </w:p>
        </w:tc>
      </w:tr>
      <w:tr>
        <w:tc>
          <w:tcPr>
            <w:tcW w:type="dxa" w:w="1701"/>
          </w:tcPr>
          <w:p>
            <w:pPr>
              <w:spacing w:lineRule="exact" w:line="600"/>
              <w:jc w:val="center"/>
            </w:pPr>
            <w:r/>
            <w:r>
              <w:rPr>
                <w:rFonts w:ascii="仿宋_GB2312" w:hAnsi="仿宋_GB2312" w:eastAsia="仿宋_GB2312"/>
                <w:b w:val="0"/>
                <w:color w:val="000000"/>
                <w:sz w:val="32"/>
              </w:rPr>
              <w:t>原料能源</w:t>
            </w:r>
          </w:p>
        </w:tc>
        <w:tc>
          <w:tcPr>
            <w:tcW w:type="dxa" w:w="4535"/>
          </w:tcPr>
          <w:p>
            <w:pPr>
              <w:spacing w:lineRule="exact" w:line="600"/>
              <w:jc w:val="center"/>
            </w:pPr>
            <w:r/>
            <w:r>
              <w:rPr>
                <w:rFonts w:ascii="仿宋_GB2312" w:hAnsi="仿宋_GB2312" w:eastAsia="仿宋_GB2312"/>
                <w:b w:val="0"/>
                <w:color w:val="000000"/>
                <w:sz w:val="32"/>
              </w:rPr>
              <w:t>叶蜡石、天然气价格影响成本</w:t>
            </w:r>
          </w:p>
        </w:tc>
        <w:tc>
          <w:tcPr>
            <w:tcW w:type="dxa" w:w="2835"/>
          </w:tcPr>
          <w:p>
            <w:pPr>
              <w:spacing w:lineRule="exact" w:line="600"/>
              <w:jc w:val="center"/>
            </w:pPr>
            <w:r/>
            <w:r>
              <w:rPr>
                <w:rFonts w:ascii="仿宋_GB2312" w:hAnsi="仿宋_GB2312" w:eastAsia="仿宋_GB2312"/>
                <w:b w:val="0"/>
                <w:color w:val="000000"/>
                <w:sz w:val="32"/>
              </w:rPr>
              <w:t>年度协议锁价</w:t>
            </w:r>
          </w:p>
        </w:tc>
      </w:tr>
      <w:tr>
        <w:tc>
          <w:tcPr>
            <w:tcW w:type="dxa" w:w="1701"/>
          </w:tcPr>
          <w:p>
            <w:pPr>
              <w:spacing w:lineRule="exact" w:line="600"/>
              <w:jc w:val="center"/>
            </w:pPr>
            <w:r/>
            <w:r>
              <w:rPr>
                <w:rFonts w:ascii="仿宋_GB2312" w:hAnsi="仿宋_GB2312" w:eastAsia="仿宋_GB2312"/>
                <w:b w:val="0"/>
                <w:color w:val="000000"/>
                <w:sz w:val="32"/>
              </w:rPr>
              <w:t>国际贸易</w:t>
            </w:r>
          </w:p>
        </w:tc>
        <w:tc>
          <w:tcPr>
            <w:tcW w:type="dxa" w:w="4535"/>
          </w:tcPr>
          <w:p>
            <w:pPr>
              <w:spacing w:lineRule="exact" w:line="600"/>
              <w:jc w:val="center"/>
            </w:pPr>
            <w:r/>
            <w:r>
              <w:rPr>
                <w:rFonts w:ascii="仿宋_GB2312" w:hAnsi="仿宋_GB2312" w:eastAsia="仿宋_GB2312"/>
                <w:b w:val="0"/>
                <w:color w:val="000000"/>
                <w:sz w:val="32"/>
              </w:rPr>
              <w:t>海外贸易壁垒与地缘风险</w:t>
            </w:r>
          </w:p>
        </w:tc>
        <w:tc>
          <w:tcPr>
            <w:tcW w:type="dxa" w:w="2835"/>
          </w:tcPr>
          <w:p>
            <w:pPr>
              <w:spacing w:lineRule="exact" w:line="600"/>
              <w:jc w:val="center"/>
            </w:pPr>
            <w:r/>
            <w:r>
              <w:rPr>
                <w:rFonts w:ascii="仿宋_GB2312" w:hAnsi="仿宋_GB2312" w:eastAsia="仿宋_GB2312"/>
                <w:b w:val="0"/>
                <w:color w:val="000000"/>
                <w:sz w:val="32"/>
              </w:rPr>
              <w:t>本地化与多元市场</w:t>
            </w:r>
          </w:p>
        </w:tc>
      </w:tr>
      <w:tr>
        <w:tc>
          <w:tcPr>
            <w:tcW w:type="dxa" w:w="1701"/>
          </w:tcPr>
          <w:p>
            <w:pPr>
              <w:spacing w:lineRule="exact" w:line="600"/>
              <w:jc w:val="center"/>
            </w:pPr>
            <w:r/>
            <w:r>
              <w:rPr>
                <w:rFonts w:ascii="仿宋_GB2312" w:hAnsi="仿宋_GB2312" w:eastAsia="仿宋_GB2312"/>
                <w:b w:val="0"/>
                <w:color w:val="000000"/>
                <w:sz w:val="32"/>
              </w:rPr>
              <w:t>产能释放</w:t>
            </w:r>
          </w:p>
        </w:tc>
        <w:tc>
          <w:tcPr>
            <w:tcW w:type="dxa" w:w="4535"/>
          </w:tcPr>
          <w:p>
            <w:pPr>
              <w:spacing w:lineRule="exact" w:line="600"/>
              <w:jc w:val="center"/>
            </w:pPr>
            <w:r/>
            <w:r>
              <w:rPr>
                <w:rFonts w:ascii="仿宋_GB2312" w:hAnsi="仿宋_GB2312" w:eastAsia="仿宋_GB2312"/>
                <w:b w:val="0"/>
                <w:color w:val="000000"/>
                <w:sz w:val="32"/>
              </w:rPr>
              <w:t>新产能投产消化压力</w:t>
            </w:r>
          </w:p>
        </w:tc>
        <w:tc>
          <w:tcPr>
            <w:tcW w:type="dxa" w:w="2835"/>
          </w:tcPr>
          <w:p>
            <w:pPr>
              <w:spacing w:lineRule="exact" w:line="600"/>
              <w:jc w:val="center"/>
            </w:pPr>
            <w:r/>
            <w:r>
              <w:rPr>
                <w:rFonts w:ascii="仿宋_GB2312" w:hAnsi="仿宋_GB2312" w:eastAsia="仿宋_GB2312"/>
                <w:b w:val="0"/>
                <w:color w:val="000000"/>
                <w:sz w:val="32"/>
              </w:rPr>
              <w:t>以销定产协同</w:t>
            </w:r>
          </w:p>
        </w:tc>
      </w:tr>
    </w:tbl>
    <w:p>
      <w:pPr>
        <w:spacing w:lineRule="exact" w:line="600" w:before="120" w:after="120"/>
        <w:ind w:firstLine="420"/>
        <w:jc w:val="left"/>
      </w:pPr>
      <w:r>
        <w:rPr>
          <w:rFonts w:ascii="黑体" w:hAnsi="黑体" w:eastAsia="黑体"/>
          <w:b w:val="0"/>
          <w:color w:val="000000"/>
          <w:sz w:val="32"/>
        </w:rPr>
        <w:t>七、融资需求分析</w:t>
      </w:r>
    </w:p>
    <w:p>
      <w:pPr>
        <w:spacing w:lineRule="exact" w:line="600" w:before="120" w:after="120"/>
        <w:ind w:firstLine="420"/>
        <w:jc w:val="left"/>
      </w:pPr>
      <w:r>
        <w:rPr>
          <w:rFonts w:ascii="楷体_GB2312" w:hAnsi="楷体_GB2312" w:eastAsia="楷体_GB2312"/>
          <w:b w:val="0"/>
          <w:color w:val="000000"/>
          <w:sz w:val="32"/>
        </w:rPr>
        <w:t>（一）商业保理</w:t>
      </w:r>
    </w:p>
    <w:p>
      <w:pPr>
        <w:spacing w:lineRule="exact" w:line="600" w:before="0" w:after="0"/>
        <w:ind w:firstLine="420"/>
        <w:jc w:val="both"/>
      </w:pPr>
      <w:r>
        <w:rPr>
          <w:rFonts w:ascii="仿宋_GB2312" w:hAnsi="仿宋_GB2312" w:eastAsia="仿宋_GB2312"/>
          <w:b w:val="0"/>
          <w:color w:val="000000"/>
          <w:sz w:val="32"/>
        </w:rPr>
        <w:t>对下游直销形成应收，可适度开展保理优化周转，但央企信用下并非必需。</w:t>
      </w:r>
    </w:p>
    <w:p>
      <w:pPr>
        <w:spacing w:lineRule="exact" w:line="600" w:before="120" w:after="120"/>
        <w:ind w:firstLine="420"/>
        <w:jc w:val="left"/>
      </w:pPr>
      <w:r>
        <w:rPr>
          <w:rFonts w:ascii="楷体_GB2312" w:hAnsi="楷体_GB2312" w:eastAsia="楷体_GB2312"/>
          <w:b w:val="0"/>
          <w:color w:val="000000"/>
          <w:sz w:val="32"/>
        </w:rPr>
        <w:t>（二）供应链金融</w:t>
      </w:r>
    </w:p>
    <w:p>
      <w:pPr>
        <w:spacing w:lineRule="exact" w:line="600" w:before="0" w:after="0"/>
        <w:ind w:firstLine="420"/>
        <w:jc w:val="both"/>
      </w:pPr>
      <w:r>
        <w:rPr>
          <w:rFonts w:ascii="仿宋_GB2312" w:hAnsi="仿宋_GB2312" w:eastAsia="仿宋_GB2312"/>
          <w:b w:val="0"/>
          <w:color w:val="000000"/>
          <w:sz w:val="32"/>
        </w:rPr>
        <w:t>可依托核心企业信用为上游叶蜡石等供应商提供供应链金融支持，稳定供应。</w:t>
      </w:r>
    </w:p>
    <w:p>
      <w:pPr>
        <w:spacing w:lineRule="exact" w:line="600" w:before="120" w:after="120"/>
        <w:ind w:firstLine="420"/>
        <w:jc w:val="left"/>
      </w:pPr>
      <w:r>
        <w:rPr>
          <w:rFonts w:ascii="楷体_GB2312" w:hAnsi="楷体_GB2312" w:eastAsia="楷体_GB2312"/>
          <w:b w:val="0"/>
          <w:color w:val="000000"/>
          <w:sz w:val="32"/>
        </w:rPr>
        <w:t>（三）融资租赁</w:t>
      </w:r>
    </w:p>
    <w:p>
      <w:pPr>
        <w:spacing w:lineRule="exact" w:line="600" w:before="0" w:after="0"/>
        <w:ind w:firstLine="420"/>
        <w:jc w:val="both"/>
      </w:pPr>
      <w:r>
        <w:rPr>
          <w:rFonts w:ascii="仿宋_GB2312" w:hAnsi="仿宋_GB2312" w:eastAsia="仿宋_GB2312"/>
          <w:b w:val="0"/>
          <w:color w:val="000000"/>
          <w:sz w:val="32"/>
        </w:rPr>
        <w:t>大型池窑与环保设备投资大，可组合运用融资租赁与定增资金。</w:t>
      </w:r>
    </w:p>
    <w:p>
      <w:pPr>
        <w:spacing w:lineRule="exact" w:line="600" w:before="120" w:after="120"/>
        <w:ind w:firstLine="420"/>
        <w:jc w:val="left"/>
      </w:pPr>
      <w:r>
        <w:rPr>
          <w:rFonts w:ascii="楷体_GB2312" w:hAnsi="楷体_GB2312" w:eastAsia="楷体_GB2312"/>
          <w:b w:val="0"/>
          <w:color w:val="000000"/>
          <w:sz w:val="32"/>
        </w:rPr>
        <w:t>（四）小额贷款</w:t>
      </w:r>
    </w:p>
    <w:p>
      <w:pPr>
        <w:spacing w:lineRule="exact" w:line="600" w:before="0" w:after="0"/>
        <w:ind w:firstLine="420"/>
        <w:jc w:val="both"/>
      </w:pPr>
      <w:r>
        <w:rPr>
          <w:rFonts w:ascii="仿宋_GB2312" w:hAnsi="仿宋_GB2312" w:eastAsia="仿宋_GB2312"/>
          <w:b w:val="0"/>
          <w:color w:val="000000"/>
          <w:sz w:val="32"/>
        </w:rPr>
        <w:t>不适用，公司融资渠道以股权定增与银行授信为主。</w:t>
      </w:r>
    </w:p>
    <w:p>
      <w:pPr>
        <w:spacing w:lineRule="exact" w:line="600" w:before="120" w:after="120"/>
        <w:ind w:firstLine="420"/>
        <w:jc w:val="left"/>
      </w:pPr>
      <w:r>
        <w:rPr>
          <w:rFonts w:ascii="黑体" w:hAnsi="黑体" w:eastAsia="黑体"/>
          <w:b w:val="0"/>
          <w:color w:val="000000"/>
          <w:sz w:val="32"/>
        </w:rPr>
        <w:t>八、综合评价、展望与建议</w:t>
      </w:r>
    </w:p>
    <w:p>
      <w:pPr>
        <w:spacing w:lineRule="exact" w:line="600" w:before="0" w:after="0"/>
        <w:ind w:firstLine="420"/>
        <w:jc w:val="both"/>
      </w:pPr>
      <w:r>
        <w:rPr>
          <w:rFonts w:ascii="仿宋_GB2312" w:hAnsi="仿宋_GB2312" w:eastAsia="仿宋_GB2312"/>
          <w:b w:val="0"/>
          <w:color w:val="000000"/>
          <w:sz w:val="32"/>
        </w:rPr>
        <w:t>泰山玻璃纤维有限公司是岱岳区玻纤新材料产业集群的链主与全球龙头，央企背景、规模与技术壁垒构成难以复制的护城河，高端化战略成效显著、盈利强劲增长。</w:t>
      </w:r>
    </w:p>
    <w:p>
      <w:pPr>
        <w:spacing w:lineRule="exact" w:line="600" w:before="0" w:after="0"/>
        <w:ind w:firstLine="420"/>
        <w:jc w:val="both"/>
      </w:pPr>
      <w:r>
        <w:rPr>
          <w:rFonts w:ascii="仿宋_GB2312" w:hAnsi="仿宋_GB2312" w:eastAsia="仿宋_GB2312"/>
          <w:b w:val="0"/>
          <w:color w:val="000000"/>
          <w:sz w:val="32"/>
        </w:rPr>
        <w:t>展望：风电、电子（AI服务器/覆铜板）、汽车轻量化等需求将持续拉动高端玻纤与特种纤维布需求，公司扩产与定增将进一步巩固地位。对山东省投资而言，泰山玻纤作为已成熟的链主企业，更适合以产业协同、基金跟投定增或上下游生态合作方式参与，而非早期股权介入。</w:t>
      </w:r>
    </w:p>
    <w:p>
      <w:pPr>
        <w:spacing w:lineRule="exact" w:line="600" w:before="0" w:after="0"/>
        <w:jc w:val="left"/>
      </w:pPr>
      <w:r>
        <w:rPr>
          <w:rFonts w:ascii="仿宋_GB2312" w:hAnsi="仿宋_GB2312" w:eastAsia="仿宋_GB2312"/>
          <w:b w:val="0"/>
          <w:color w:val="000000"/>
          <w:sz w:val="28"/>
        </w:rPr>
        <w:t>数据来源说明：本报告数据来源于中材科技股份有限公司2025年年度报告、2026年第一季度报告及相关公告、公司官网、同花顺/证券时报等公开报道。泰山玻纤财务数据采用中材科技公开披露的分部口径。相关数据以公司正式披露文件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