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山东泰安新泰市(智能起重机械)特色产业集群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山东龙辉起重机械有限公司企业分析报告</w:t>
      </w:r>
    </w:p>
    <w:p>
      <w:pPr>
        <w:spacing w:lineRule="exact" w:line="600" w:before="0" w:after="0"/>
        <w:jc w:val="left"/>
      </w:pPr>
      <w:r>
        <w:rPr>
          <w:rFonts w:ascii="仿宋_GB2312" w:hAnsi="仿宋_GB2312" w:eastAsia="仿宋_GB2312"/>
          <w:b w:val="0"/>
          <w:color w:val="000000"/>
          <w:sz w:val="28"/>
        </w:rPr>
        <w:t>（本报告依据公开工商信息、工信部专精特新"小巨人"及制造业单项冠军名单、新泰市公开报道及行业权威媒体编写，用于产业投资参考。非上市公司财务数据未公开披露，均如实标注。数据来源见文末。）</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（一）工商基本信息</w:t>
      </w:r>
    </w:p>
    <w:p>
      <w:pPr>
        <w:spacing w:lineRule="exact" w:line="600" w:before="0" w:after="0"/>
        <w:ind w:firstLine="420"/>
        <w:jc w:val="both"/>
      </w:pPr>
      <w:r>
        <w:rPr>
          <w:rFonts w:ascii="仿宋_GB2312" w:hAnsi="仿宋_GB2312" w:eastAsia="仿宋_GB2312"/>
          <w:b w:val="0"/>
          <w:color w:val="000000"/>
          <w:sz w:val="32"/>
        </w:rPr>
        <w:t>山东龙辉起重机械有限公司成立于2005年11月8日，法定代表人为和西普，注册资本31,800万元人民币，注册地位于山东省泰安市新泰市羊流镇（智能起重机械产业集群核心区）。公司参保人数约245人，是集起重机械研发、制造、销售、安装与服务于一体的一体化企业，属新泰起重集群龙头。</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268"/>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山东龙辉起重机械有限公司</w:t>
            </w:r>
          </w:p>
        </w:tc>
      </w:tr>
      <w:tr>
        <w:tc>
          <w:tcPr>
            <w:tcW w:type="dxa" w:w="2268"/>
          </w:tcPr>
          <w:p>
            <w:pPr>
              <w:spacing w:lineRule="exact" w:line="600"/>
              <w:jc w:val="center"/>
            </w:pPr>
            <w:r/>
            <w:r>
              <w:rPr>
                <w:rFonts w:ascii="仿宋_GB2312" w:hAnsi="仿宋_GB2312" w:eastAsia="仿宋_GB2312"/>
                <w:b w:val="0"/>
                <w:color w:val="000000"/>
                <w:sz w:val="32"/>
              </w:rPr>
              <w:t>成立日期</w:t>
            </w:r>
          </w:p>
        </w:tc>
        <w:tc>
          <w:tcPr>
            <w:tcW w:type="dxa" w:w="6803"/>
          </w:tcPr>
          <w:p>
            <w:pPr>
              <w:spacing w:lineRule="exact" w:line="600"/>
              <w:jc w:val="center"/>
            </w:pPr>
            <w:r/>
            <w:r>
              <w:rPr>
                <w:rFonts w:ascii="仿宋_GB2312" w:hAnsi="仿宋_GB2312" w:eastAsia="仿宋_GB2312"/>
                <w:b w:val="0"/>
                <w:color w:val="000000"/>
                <w:sz w:val="32"/>
              </w:rPr>
              <w:t>2005-11-08</w:t>
            </w:r>
          </w:p>
        </w:tc>
      </w:tr>
      <w:tr>
        <w:tc>
          <w:tcPr>
            <w:tcW w:type="dxa" w:w="2268"/>
          </w:tcPr>
          <w:p>
            <w:pPr>
              <w:spacing w:lineRule="exact" w:line="600"/>
              <w:jc w:val="center"/>
            </w:pPr>
            <w:r/>
            <w:r>
              <w:rPr>
                <w:rFonts w:ascii="仿宋_GB2312" w:hAnsi="仿宋_GB2312" w:eastAsia="仿宋_GB2312"/>
                <w:b w:val="0"/>
                <w:color w:val="000000"/>
                <w:sz w:val="32"/>
              </w:rPr>
              <w:t>法定代表人</w:t>
            </w:r>
          </w:p>
        </w:tc>
        <w:tc>
          <w:tcPr>
            <w:tcW w:type="dxa" w:w="6803"/>
          </w:tcPr>
          <w:p>
            <w:pPr>
              <w:spacing w:lineRule="exact" w:line="600"/>
              <w:jc w:val="center"/>
            </w:pPr>
            <w:r/>
            <w:r>
              <w:rPr>
                <w:rFonts w:ascii="仿宋_GB2312" w:hAnsi="仿宋_GB2312" w:eastAsia="仿宋_GB2312"/>
                <w:b w:val="0"/>
                <w:color w:val="000000"/>
                <w:sz w:val="32"/>
              </w:rPr>
              <w:t>和西普</w:t>
            </w:r>
          </w:p>
        </w:tc>
      </w:tr>
      <w:tr>
        <w:tc>
          <w:tcPr>
            <w:tcW w:type="dxa" w:w="2268"/>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31,800万元人民币</w:t>
            </w:r>
          </w:p>
        </w:tc>
      </w:tr>
      <w:tr>
        <w:tc>
          <w:tcPr>
            <w:tcW w:type="dxa" w:w="2268"/>
          </w:tcPr>
          <w:p>
            <w:pPr>
              <w:spacing w:lineRule="exact" w:line="600"/>
              <w:jc w:val="center"/>
            </w:pPr>
            <w:r/>
            <w:r>
              <w:rPr>
                <w:rFonts w:ascii="仿宋_GB2312" w:hAnsi="仿宋_GB2312" w:eastAsia="仿宋_GB2312"/>
                <w:b w:val="0"/>
                <w:color w:val="000000"/>
                <w:sz w:val="32"/>
              </w:rPr>
              <w:t>参保人数</w:t>
            </w:r>
          </w:p>
        </w:tc>
        <w:tc>
          <w:tcPr>
            <w:tcW w:type="dxa" w:w="6803"/>
          </w:tcPr>
          <w:p>
            <w:pPr>
              <w:spacing w:lineRule="exact" w:line="600"/>
              <w:jc w:val="center"/>
            </w:pPr>
            <w:r/>
            <w:r>
              <w:rPr>
                <w:rFonts w:ascii="仿宋_GB2312" w:hAnsi="仿宋_GB2312" w:eastAsia="仿宋_GB2312"/>
                <w:b w:val="0"/>
                <w:color w:val="000000"/>
                <w:sz w:val="32"/>
              </w:rPr>
              <w:t>约245人</w:t>
            </w:r>
          </w:p>
        </w:tc>
      </w:tr>
      <w:tr>
        <w:tc>
          <w:tcPr>
            <w:tcW w:type="dxa" w:w="2268"/>
          </w:tcPr>
          <w:p>
            <w:pPr>
              <w:spacing w:lineRule="exact" w:line="600"/>
              <w:jc w:val="center"/>
            </w:pPr>
            <w:r/>
            <w:r>
              <w:rPr>
                <w:rFonts w:ascii="仿宋_GB2312" w:hAnsi="仿宋_GB2312" w:eastAsia="仿宋_GB2312"/>
                <w:b w:val="0"/>
                <w:color w:val="000000"/>
                <w:sz w:val="32"/>
              </w:rPr>
              <w:t>注册地</w:t>
            </w:r>
          </w:p>
        </w:tc>
        <w:tc>
          <w:tcPr>
            <w:tcW w:type="dxa" w:w="6803"/>
          </w:tcPr>
          <w:p>
            <w:pPr>
              <w:spacing w:lineRule="exact" w:line="600"/>
              <w:jc w:val="center"/>
            </w:pPr>
            <w:r/>
            <w:r>
              <w:rPr>
                <w:rFonts w:ascii="仿宋_GB2312" w:hAnsi="仿宋_GB2312" w:eastAsia="仿宋_GB2312"/>
                <w:b w:val="0"/>
                <w:color w:val="000000"/>
                <w:sz w:val="32"/>
              </w:rPr>
              <w:t>山东省泰安市新泰市羊流镇</w:t>
            </w:r>
          </w:p>
        </w:tc>
      </w:tr>
      <w:tr>
        <w:tc>
          <w:tcPr>
            <w:tcW w:type="dxa" w:w="2268"/>
          </w:tcPr>
          <w:p>
            <w:pPr>
              <w:spacing w:lineRule="exact" w:line="600"/>
              <w:jc w:val="center"/>
            </w:pPr>
            <w:r/>
            <w:r>
              <w:rPr>
                <w:rFonts w:ascii="仿宋_GB2312" w:hAnsi="仿宋_GB2312" w:eastAsia="仿宋_GB2312"/>
                <w:b w:val="0"/>
                <w:color w:val="000000"/>
                <w:sz w:val="32"/>
              </w:rPr>
              <w:t>行业分类</w:t>
            </w:r>
          </w:p>
        </w:tc>
        <w:tc>
          <w:tcPr>
            <w:tcW w:type="dxa" w:w="6803"/>
          </w:tcPr>
          <w:p>
            <w:pPr>
              <w:spacing w:lineRule="exact" w:line="600"/>
              <w:jc w:val="center"/>
            </w:pPr>
            <w:r/>
            <w:r>
              <w:rPr>
                <w:rFonts w:ascii="仿宋_GB2312" w:hAnsi="仿宋_GB2312" w:eastAsia="仿宋_GB2312"/>
                <w:b w:val="0"/>
                <w:color w:val="000000"/>
                <w:sz w:val="32"/>
              </w:rPr>
              <w:t>起重运输设备制造</w:t>
            </w:r>
          </w:p>
        </w:tc>
      </w:tr>
      <w:tr>
        <w:tc>
          <w:tcPr>
            <w:tcW w:type="dxa" w:w="2268"/>
          </w:tcPr>
          <w:p>
            <w:pPr>
              <w:spacing w:lineRule="exact" w:line="600"/>
              <w:jc w:val="center"/>
            </w:pPr>
            <w:r/>
            <w:r>
              <w:rPr>
                <w:rFonts w:ascii="仿宋_GB2312" w:hAnsi="仿宋_GB2312" w:eastAsia="仿宋_GB2312"/>
                <w:b w:val="0"/>
                <w:color w:val="000000"/>
                <w:sz w:val="32"/>
              </w:rPr>
              <w:t>企业性质</w:t>
            </w:r>
          </w:p>
        </w:tc>
        <w:tc>
          <w:tcPr>
            <w:tcW w:type="dxa" w:w="6803"/>
          </w:tcPr>
          <w:p>
            <w:pPr>
              <w:spacing w:lineRule="exact" w:line="600"/>
              <w:jc w:val="center"/>
            </w:pPr>
            <w:r/>
            <w:r>
              <w:rPr>
                <w:rFonts w:ascii="仿宋_GB2312" w:hAnsi="仿宋_GB2312" w:eastAsia="仿宋_GB2312"/>
                <w:b w:val="0"/>
                <w:color w:val="000000"/>
                <w:sz w:val="32"/>
              </w:rPr>
              <w:t>民营（山东龙辉集团全资）</w:t>
            </w:r>
          </w:p>
        </w:tc>
      </w:tr>
    </w:tbl>
    <w:p>
      <w:pPr>
        <w:spacing w:lineRule="exact" w:line="600" w:before="120" w:after="120"/>
        <w:ind w:firstLine="420"/>
        <w:jc w:val="left"/>
      </w:pPr>
      <w:r>
        <w:rPr>
          <w:rFonts w:ascii="楷体_GB2312" w:hAnsi="楷体_GB2312" w:eastAsia="楷体_GB2312"/>
          <w:b w:val="0"/>
          <w:color w:val="000000"/>
          <w:sz w:val="32"/>
        </w:rPr>
        <w:t>（二）组织架构与股权结构</w:t>
      </w:r>
    </w:p>
    <w:p>
      <w:pPr>
        <w:spacing w:lineRule="exact" w:line="600" w:before="0" w:after="0"/>
        <w:ind w:firstLine="420"/>
        <w:jc w:val="both"/>
      </w:pPr>
      <w:r>
        <w:rPr>
          <w:rFonts w:ascii="仿宋_GB2312" w:hAnsi="仿宋_GB2312" w:eastAsia="仿宋_GB2312"/>
          <w:b w:val="0"/>
          <w:color w:val="000000"/>
          <w:sz w:val="32"/>
        </w:rPr>
        <w:t>公司由山东龙辉集团100%持股，为集团核心起重机械业务平台。集团化运作利于统一品牌、研发与销售网络，股权清晰、决策链条短，适合快速响应市场。</w:t>
      </w:r>
    </w:p>
    <w:p>
      <w:pPr>
        <w:spacing w:lineRule="exact" w:line="600" w:before="120" w:after="120"/>
        <w:ind w:firstLine="420"/>
        <w:jc w:val="left"/>
      </w:pPr>
      <w:r>
        <w:rPr>
          <w:rFonts w:ascii="楷体_GB2312" w:hAnsi="楷体_GB2312" w:eastAsia="楷体_GB2312"/>
          <w:b w:val="0"/>
          <w:color w:val="000000"/>
          <w:sz w:val="32"/>
        </w:rPr>
        <w:t>（三）历史沿革与发展</w:t>
      </w:r>
    </w:p>
    <w:p>
      <w:pPr>
        <w:spacing w:lineRule="exact" w:line="600" w:before="0" w:after="0"/>
        <w:ind w:firstLine="420"/>
        <w:jc w:val="both"/>
      </w:pPr>
      <w:r>
        <w:rPr>
          <w:rFonts w:ascii="仿宋_GB2312" w:hAnsi="仿宋_GB2312" w:eastAsia="仿宋_GB2312"/>
          <w:b w:val="0"/>
          <w:color w:val="000000"/>
          <w:sz w:val="32"/>
        </w:rPr>
        <w:t>公司自2005年设立，深耕起重机械二十载，依托新泰羊流镇"中国起重之乡"产业基础，从传统桥门式起重机向智能、绿色起重装备升级，成为区域行业标杆。</w:t>
      </w:r>
    </w:p>
    <w:p>
      <w:pPr>
        <w:spacing w:lineRule="exact" w:line="600" w:before="120" w:after="120"/>
        <w:ind w:firstLine="420"/>
        <w:jc w:val="left"/>
      </w:pPr>
      <w:r>
        <w:rPr>
          <w:rFonts w:ascii="楷体_GB2312" w:hAnsi="楷体_GB2312" w:eastAsia="楷体_GB2312"/>
          <w:b w:val="0"/>
          <w:color w:val="000000"/>
          <w:sz w:val="32"/>
        </w:rPr>
        <w:t>（四）企业定位与战略</w:t>
      </w:r>
    </w:p>
    <w:p>
      <w:pPr>
        <w:spacing w:lineRule="exact" w:line="600" w:before="0" w:after="0"/>
        <w:ind w:firstLine="420"/>
        <w:jc w:val="both"/>
      </w:pPr>
      <w:r>
        <w:rPr>
          <w:rFonts w:ascii="仿宋_GB2312" w:hAnsi="仿宋_GB2312" w:eastAsia="仿宋_GB2312"/>
          <w:b w:val="0"/>
          <w:color w:val="000000"/>
          <w:sz w:val="32"/>
        </w:rPr>
        <w:t>公司定位于中高端智能起重装备供应商，战略上推进数字化、绿色化转型，融合数字孪生等新技术提升产品附加值，服务制造、物流、能源等场景。</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w:t>
      </w:r>
    </w:p>
    <w:p>
      <w:pPr>
        <w:spacing w:lineRule="exact" w:line="600" w:before="0" w:after="0"/>
        <w:ind w:firstLine="420"/>
        <w:jc w:val="both"/>
      </w:pPr>
      <w:r>
        <w:rPr>
          <w:rFonts w:ascii="仿宋_GB2312" w:hAnsi="仿宋_GB2312" w:eastAsia="仿宋_GB2312"/>
          <w:b w:val="0"/>
          <w:color w:val="000000"/>
          <w:sz w:val="32"/>
        </w:rPr>
        <w:t>主营桥式、门式、欧式等系列起重机及智能起重系统，覆盖通用起重、冶金起重、智能仓储起重等。产品向轻量化、模块化、智能化发展。</w:t>
      </w:r>
    </w:p>
    <w:p>
      <w:pPr>
        <w:spacing w:lineRule="exact" w:line="600" w:before="120" w:after="120"/>
        <w:ind w:firstLine="420"/>
        <w:jc w:val="left"/>
      </w:pPr>
      <w:r>
        <w:rPr>
          <w:rFonts w:ascii="楷体_GB2312" w:hAnsi="楷体_GB2312" w:eastAsia="楷体_GB2312"/>
          <w:b w:val="0"/>
          <w:color w:val="000000"/>
          <w:sz w:val="32"/>
        </w:rPr>
        <w:t>（二）市场与客户</w:t>
      </w:r>
    </w:p>
    <w:p>
      <w:pPr>
        <w:spacing w:lineRule="exact" w:line="600" w:before="0" w:after="0"/>
        <w:ind w:firstLine="420"/>
        <w:jc w:val="both"/>
      </w:pPr>
      <w:r>
        <w:rPr>
          <w:rFonts w:ascii="仿宋_GB2312" w:hAnsi="仿宋_GB2312" w:eastAsia="仿宋_GB2312"/>
          <w:b w:val="0"/>
          <w:color w:val="000000"/>
          <w:sz w:val="32"/>
        </w:rPr>
        <w:t>客户分布于装备制造、钢铁、电力、物流仓储等行业。行业媒体估算公司年销售额约5—10亿元区间，但属非公开口径，仅作参考。新泰羊流镇集聚大量起重企业，公司凭借资质与品牌占据中高端市场。</w:t>
      </w:r>
    </w:p>
    <w:p>
      <w:pPr>
        <w:spacing w:lineRule="exact" w:line="600" w:before="120" w:after="120"/>
        <w:ind w:firstLine="420"/>
        <w:jc w:val="left"/>
      </w:pPr>
      <w:r>
        <w:rPr>
          <w:rFonts w:ascii="楷体_GB2312" w:hAnsi="楷体_GB2312" w:eastAsia="楷体_GB2312"/>
          <w:b w:val="0"/>
          <w:color w:val="000000"/>
          <w:sz w:val="32"/>
        </w:rPr>
        <w:t>（三）产能与技术布局</w:t>
      </w:r>
    </w:p>
    <w:p>
      <w:pPr>
        <w:spacing w:lineRule="exact" w:line="600" w:before="0" w:after="0"/>
        <w:ind w:firstLine="420"/>
        <w:jc w:val="both"/>
      </w:pPr>
      <w:r>
        <w:rPr>
          <w:rFonts w:ascii="仿宋_GB2312" w:hAnsi="仿宋_GB2312" w:eastAsia="仿宋_GB2312"/>
          <w:b w:val="0"/>
          <w:color w:val="000000"/>
          <w:sz w:val="32"/>
        </w:rPr>
        <w:t>公司获评国家级专精特新"小巨人"企业、制造业单项冠军、瞪羚企业，体现细分领域冠军地位。公开报道显示其在数字孪生、绿色制造技术方面布局，推动产品向智能运维与能效优化升级。</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（一）财务数据可得性说明</w:t>
      </w:r>
    </w:p>
    <w:p>
      <w:pPr>
        <w:spacing w:lineRule="exact" w:line="600" w:before="0" w:after="0"/>
        <w:ind w:firstLine="420"/>
        <w:jc w:val="both"/>
      </w:pPr>
      <w:r>
        <w:rPr>
          <w:rFonts w:ascii="仿宋_GB2312" w:hAnsi="仿宋_GB2312" w:eastAsia="仿宋_GB2312"/>
          <w:b w:val="0"/>
          <w:color w:val="000000"/>
          <w:sz w:val="32"/>
        </w:rPr>
        <w:t>山东龙辉起重机械有限公司为非上市民营企业，未公开披露经审计年度财报，下列财务数据依据公开报道估算口径，已如实标注。</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3685"/>
          </w:tcPr>
          <w:p>
            <w:pPr>
              <w:spacing w:lineRule="exact" w:line="600"/>
              <w:jc w:val="center"/>
            </w:pPr>
            <w:r/>
            <w:r>
              <w:rPr>
                <w:rFonts w:ascii="黑体" w:hAnsi="黑体" w:eastAsia="黑体"/>
                <w:b/>
                <w:color w:val="000000"/>
                <w:sz w:val="32"/>
              </w:rPr>
              <w:t>情况/估算</w:t>
            </w:r>
          </w:p>
        </w:tc>
        <w:tc>
          <w:tcPr>
            <w:tcW w:type="dxa" w:w="3402"/>
          </w:tcPr>
          <w:p>
            <w:pPr>
              <w:spacing w:lineRule="exact" w:line="600"/>
              <w:jc w:val="center"/>
            </w:pPr>
            <w:r/>
            <w:r>
              <w:rPr>
                <w:rFonts w:ascii="黑体" w:hAnsi="黑体" w:eastAsia="黑体"/>
                <w:b/>
                <w:color w:val="000000"/>
                <w:sz w:val="32"/>
              </w:rPr>
              <w:t>说明</w:t>
            </w:r>
          </w:p>
        </w:tc>
      </w:tr>
      <w:tr>
        <w:tc>
          <w:tcPr>
            <w:tcW w:type="dxa" w:w="1984"/>
          </w:tcPr>
          <w:p>
            <w:pPr>
              <w:spacing w:lineRule="exact" w:line="600"/>
              <w:jc w:val="center"/>
            </w:pPr>
            <w:r/>
            <w:r>
              <w:rPr>
                <w:rFonts w:ascii="仿宋_GB2312" w:hAnsi="仿宋_GB2312" w:eastAsia="仿宋_GB2312"/>
                <w:b w:val="0"/>
                <w:color w:val="000000"/>
                <w:sz w:val="32"/>
              </w:rPr>
              <w:t>营业收入</w:t>
            </w:r>
          </w:p>
        </w:tc>
        <w:tc>
          <w:tcPr>
            <w:tcW w:type="dxa" w:w="3685"/>
          </w:tcPr>
          <w:p>
            <w:pPr>
              <w:spacing w:lineRule="exact" w:line="600"/>
              <w:jc w:val="center"/>
            </w:pPr>
            <w:r/>
            <w:r>
              <w:rPr>
                <w:rFonts w:ascii="仿宋_GB2312" w:hAnsi="仿宋_GB2312" w:eastAsia="仿宋_GB2312"/>
                <w:b w:val="0"/>
                <w:color w:val="000000"/>
                <w:sz w:val="32"/>
              </w:rPr>
              <w:t>约5—10亿元（行业媒体估算）</w:t>
            </w:r>
          </w:p>
        </w:tc>
        <w:tc>
          <w:tcPr>
            <w:tcW w:type="dxa" w:w="3402"/>
          </w:tcPr>
          <w:p>
            <w:pPr>
              <w:spacing w:lineRule="exact" w:line="600"/>
              <w:jc w:val="center"/>
            </w:pPr>
            <w:r/>
            <w:r>
              <w:rPr>
                <w:rFonts w:ascii="仿宋_GB2312" w:hAnsi="仿宋_GB2312" w:eastAsia="仿宋_GB2312"/>
                <w:b w:val="0"/>
                <w:color w:val="000000"/>
                <w:sz w:val="32"/>
              </w:rPr>
              <w:t>非审计，仅供参考</w:t>
            </w:r>
          </w:p>
        </w:tc>
      </w:tr>
      <w:tr>
        <w:tc>
          <w:tcPr>
            <w:tcW w:type="dxa" w:w="1984"/>
          </w:tcPr>
          <w:p>
            <w:pPr>
              <w:spacing w:lineRule="exact" w:line="600"/>
              <w:jc w:val="center"/>
            </w:pPr>
            <w:r/>
            <w:r>
              <w:rPr>
                <w:rFonts w:ascii="仿宋_GB2312" w:hAnsi="仿宋_GB2312" w:eastAsia="仿宋_GB2312"/>
                <w:b w:val="0"/>
                <w:color w:val="000000"/>
                <w:sz w:val="32"/>
              </w:rPr>
              <w:t>净利润</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建议关注尽调</w:t>
            </w:r>
          </w:p>
        </w:tc>
      </w:tr>
      <w:tr>
        <w:tc>
          <w:tcPr>
            <w:tcW w:type="dxa" w:w="1984"/>
          </w:tcPr>
          <w:p>
            <w:pPr>
              <w:spacing w:lineRule="exact" w:line="600"/>
              <w:jc w:val="center"/>
            </w:pPr>
            <w:r/>
            <w:r>
              <w:rPr>
                <w:rFonts w:ascii="仿宋_GB2312" w:hAnsi="仿宋_GB2312" w:eastAsia="仿宋_GB2312"/>
                <w:b w:val="0"/>
                <w:color w:val="000000"/>
                <w:sz w:val="32"/>
              </w:rPr>
              <w:t>资产负债率</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民营制造企业普遍偏高</w:t>
            </w:r>
          </w:p>
        </w:tc>
      </w:tr>
      <w:tr>
        <w:tc>
          <w:tcPr>
            <w:tcW w:type="dxa" w:w="1984"/>
          </w:tcPr>
          <w:p>
            <w:pPr>
              <w:spacing w:lineRule="exact" w:line="600"/>
              <w:jc w:val="center"/>
            </w:pPr>
            <w:r/>
            <w:r>
              <w:rPr>
                <w:rFonts w:ascii="仿宋_GB2312" w:hAnsi="仿宋_GB2312" w:eastAsia="仿宋_GB2312"/>
                <w:b w:val="0"/>
                <w:color w:val="000000"/>
                <w:sz w:val="32"/>
              </w:rPr>
              <w:t>经营现金流</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建议尽调核实</w:t>
            </w:r>
          </w:p>
        </w:tc>
      </w:tr>
    </w:tbl>
    <w:p>
      <w:pPr>
        <w:spacing w:lineRule="exact" w:line="600" w:before="120" w:after="120"/>
        <w:ind w:firstLine="420"/>
        <w:jc w:val="left"/>
      </w:pPr>
      <w:r>
        <w:rPr>
          <w:rFonts w:ascii="楷体_GB2312" w:hAnsi="楷体_GB2312" w:eastAsia="楷体_GB2312"/>
          <w:b w:val="0"/>
          <w:color w:val="000000"/>
          <w:sz w:val="32"/>
        </w:rPr>
        <w:t>（二）盈利特征</w:t>
      </w:r>
    </w:p>
    <w:p>
      <w:pPr>
        <w:spacing w:lineRule="exact" w:line="600" w:before="0" w:after="0"/>
        <w:ind w:firstLine="420"/>
        <w:jc w:val="both"/>
      </w:pPr>
      <w:r>
        <w:rPr>
          <w:rFonts w:ascii="仿宋_GB2312" w:hAnsi="仿宋_GB2312" w:eastAsia="仿宋_GB2312"/>
          <w:b w:val="0"/>
          <w:color w:val="000000"/>
          <w:sz w:val="32"/>
        </w:rPr>
        <w:t>起重机械制造属项目制、重交付行业，收入确认与回款周期较长，盈利受钢材等原材料价格与项目节奏影响。公司规模与冠军资质有助于维持毛利稳定。</w:t>
      </w:r>
    </w:p>
    <w:p>
      <w:pPr>
        <w:spacing w:lineRule="exact" w:line="600" w:before="120" w:after="120"/>
        <w:ind w:firstLine="420"/>
        <w:jc w:val="left"/>
      </w:pPr>
      <w:r>
        <w:rPr>
          <w:rFonts w:ascii="黑体" w:hAnsi="黑体" w:eastAsia="黑体"/>
          <w:b w:val="0"/>
          <w:color w:val="000000"/>
          <w:sz w:val="32"/>
        </w:rPr>
        <w:t>四、公司治理、管理与人力的分析</w:t>
      </w:r>
    </w:p>
    <w:p>
      <w:pPr>
        <w:spacing w:lineRule="exact" w:line="600" w:before="0" w:after="0"/>
        <w:ind w:firstLine="420"/>
        <w:jc w:val="both"/>
      </w:pPr>
      <w:r>
        <w:rPr>
          <w:rFonts w:ascii="仿宋_GB2312" w:hAnsi="仿宋_GB2312" w:eastAsia="仿宋_GB2312"/>
          <w:b w:val="0"/>
          <w:color w:val="000000"/>
          <w:sz w:val="32"/>
        </w:rPr>
        <w:t>公司为集团全资控股，治理以家族/集团管控为主，实际控制人及核心管理层在起重行业积淀深厚。参保约245人，以生产技工、焊接与装配工人及工程技术人员为主，产业工人储备充足。建议后续完善现代企业治理与核心人才激励，支撑智能化转型。</w:t>
      </w:r>
    </w:p>
    <w:p>
      <w:pPr>
        <w:spacing w:lineRule="exact" w:line="600" w:before="120" w:after="120"/>
        <w:ind w:firstLine="420"/>
        <w:jc w:val="left"/>
      </w:pPr>
      <w:r>
        <w:rPr>
          <w:rFonts w:ascii="黑体" w:hAnsi="黑体" w:eastAsia="黑体"/>
          <w:b w:val="0"/>
          <w:color w:val="000000"/>
          <w:sz w:val="32"/>
        </w:rPr>
        <w:t>五、核心竞争力分析</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核心竞争力</w:t>
            </w:r>
          </w:p>
        </w:tc>
        <w:tc>
          <w:tcPr>
            <w:tcW w:type="dxa" w:w="6803"/>
          </w:tcPr>
          <w:p>
            <w:pPr>
              <w:spacing w:lineRule="exact" w:line="600"/>
              <w:jc w:val="center"/>
            </w:pPr>
            <w:r/>
            <w:r>
              <w:rPr>
                <w:rFonts w:ascii="黑体" w:hAnsi="黑体" w:eastAsia="黑体"/>
                <w:b/>
                <w:color w:val="000000"/>
                <w:sz w:val="32"/>
              </w:rPr>
              <w:t>具体表现</w:t>
            </w:r>
          </w:p>
        </w:tc>
      </w:tr>
      <w:tr>
        <w:tc>
          <w:tcPr>
            <w:tcW w:type="dxa" w:w="2268"/>
          </w:tcPr>
          <w:p>
            <w:pPr>
              <w:spacing w:lineRule="exact" w:line="600"/>
              <w:jc w:val="center"/>
            </w:pPr>
            <w:r/>
            <w:r>
              <w:rPr>
                <w:rFonts w:ascii="仿宋_GB2312" w:hAnsi="仿宋_GB2312" w:eastAsia="仿宋_GB2312"/>
                <w:b w:val="0"/>
                <w:color w:val="000000"/>
                <w:sz w:val="32"/>
              </w:rPr>
              <w:t>冠军资质</w:t>
            </w:r>
          </w:p>
        </w:tc>
        <w:tc>
          <w:tcPr>
            <w:tcW w:type="dxa" w:w="6803"/>
          </w:tcPr>
          <w:p>
            <w:pPr>
              <w:spacing w:lineRule="exact" w:line="600"/>
              <w:jc w:val="center"/>
            </w:pPr>
            <w:r/>
            <w:r>
              <w:rPr>
                <w:rFonts w:ascii="仿宋_GB2312" w:hAnsi="仿宋_GB2312" w:eastAsia="仿宋_GB2312"/>
                <w:b w:val="0"/>
                <w:color w:val="000000"/>
                <w:sz w:val="32"/>
              </w:rPr>
              <w:t>国家级专精特新"小巨人"、制造业单项冠军、瞪羚企业</w:t>
            </w:r>
          </w:p>
        </w:tc>
      </w:tr>
      <w:tr>
        <w:tc>
          <w:tcPr>
            <w:tcW w:type="dxa" w:w="2268"/>
          </w:tcPr>
          <w:p>
            <w:pPr>
              <w:spacing w:lineRule="exact" w:line="600"/>
              <w:jc w:val="center"/>
            </w:pPr>
            <w:r/>
            <w:r>
              <w:rPr>
                <w:rFonts w:ascii="仿宋_GB2312" w:hAnsi="仿宋_GB2312" w:eastAsia="仿宋_GB2312"/>
                <w:b w:val="0"/>
                <w:color w:val="000000"/>
                <w:sz w:val="32"/>
              </w:rPr>
              <w:t>产业集群</w:t>
            </w:r>
          </w:p>
        </w:tc>
        <w:tc>
          <w:tcPr>
            <w:tcW w:type="dxa" w:w="6803"/>
          </w:tcPr>
          <w:p>
            <w:pPr>
              <w:spacing w:lineRule="exact" w:line="600"/>
              <w:jc w:val="center"/>
            </w:pPr>
            <w:r/>
            <w:r>
              <w:rPr>
                <w:rFonts w:ascii="仿宋_GB2312" w:hAnsi="仿宋_GB2312" w:eastAsia="仿宋_GB2312"/>
                <w:b w:val="0"/>
                <w:color w:val="000000"/>
                <w:sz w:val="32"/>
              </w:rPr>
              <w:t>新泰羊流"中国起重之乡"完整配套</w:t>
            </w:r>
          </w:p>
        </w:tc>
      </w:tr>
      <w:tr>
        <w:tc>
          <w:tcPr>
            <w:tcW w:type="dxa" w:w="2268"/>
          </w:tcPr>
          <w:p>
            <w:pPr>
              <w:spacing w:lineRule="exact" w:line="600"/>
              <w:jc w:val="center"/>
            </w:pPr>
            <w:r/>
            <w:r>
              <w:rPr>
                <w:rFonts w:ascii="仿宋_GB2312" w:hAnsi="仿宋_GB2312" w:eastAsia="仿宋_GB2312"/>
                <w:b w:val="0"/>
                <w:color w:val="000000"/>
                <w:sz w:val="32"/>
              </w:rPr>
              <w:t>技术升级</w:t>
            </w:r>
          </w:p>
        </w:tc>
        <w:tc>
          <w:tcPr>
            <w:tcW w:type="dxa" w:w="6803"/>
          </w:tcPr>
          <w:p>
            <w:pPr>
              <w:spacing w:lineRule="exact" w:line="600"/>
              <w:jc w:val="center"/>
            </w:pPr>
            <w:r/>
            <w:r>
              <w:rPr>
                <w:rFonts w:ascii="仿宋_GB2312" w:hAnsi="仿宋_GB2312" w:eastAsia="仿宋_GB2312"/>
                <w:b w:val="0"/>
                <w:color w:val="000000"/>
                <w:sz w:val="32"/>
              </w:rPr>
              <w:t>数字孪生、绿色制造布局</w:t>
            </w:r>
          </w:p>
        </w:tc>
      </w:tr>
      <w:tr>
        <w:tc>
          <w:tcPr>
            <w:tcW w:type="dxa" w:w="2268"/>
          </w:tcPr>
          <w:p>
            <w:pPr>
              <w:spacing w:lineRule="exact" w:line="600"/>
              <w:jc w:val="center"/>
            </w:pPr>
            <w:r/>
            <w:r>
              <w:rPr>
                <w:rFonts w:ascii="仿宋_GB2312" w:hAnsi="仿宋_GB2312" w:eastAsia="仿宋_GB2312"/>
                <w:b w:val="0"/>
                <w:color w:val="000000"/>
                <w:sz w:val="32"/>
              </w:rPr>
              <w:t>规模资质</w:t>
            </w:r>
          </w:p>
        </w:tc>
        <w:tc>
          <w:tcPr>
            <w:tcW w:type="dxa" w:w="6803"/>
          </w:tcPr>
          <w:p>
            <w:pPr>
              <w:spacing w:lineRule="exact" w:line="600"/>
              <w:jc w:val="center"/>
            </w:pPr>
            <w:r/>
            <w:r>
              <w:rPr>
                <w:rFonts w:ascii="仿宋_GB2312" w:hAnsi="仿宋_GB2312" w:eastAsia="仿宋_GB2312"/>
                <w:b w:val="0"/>
                <w:color w:val="000000"/>
                <w:sz w:val="32"/>
              </w:rPr>
              <w:t>注册资本3.18亿，A级起重资质齐全</w:t>
            </w:r>
          </w:p>
        </w:tc>
      </w:tr>
      <w:tr>
        <w:tc>
          <w:tcPr>
            <w:tcW w:type="dxa" w:w="2268"/>
          </w:tcPr>
          <w:p>
            <w:pPr>
              <w:spacing w:lineRule="exact" w:line="600"/>
              <w:jc w:val="center"/>
            </w:pPr>
            <w:r/>
            <w:r>
              <w:rPr>
                <w:rFonts w:ascii="仿宋_GB2312" w:hAnsi="仿宋_GB2312" w:eastAsia="仿宋_GB2312"/>
                <w:b w:val="0"/>
                <w:color w:val="000000"/>
                <w:sz w:val="32"/>
              </w:rPr>
              <w:t>品牌渠道</w:t>
            </w:r>
          </w:p>
        </w:tc>
        <w:tc>
          <w:tcPr>
            <w:tcW w:type="dxa" w:w="6803"/>
          </w:tcPr>
          <w:p>
            <w:pPr>
              <w:spacing w:lineRule="exact" w:line="600"/>
              <w:jc w:val="center"/>
            </w:pPr>
            <w:r/>
            <w:r>
              <w:rPr>
                <w:rFonts w:ascii="仿宋_GB2312" w:hAnsi="仿宋_GB2312" w:eastAsia="仿宋_GB2312"/>
                <w:b w:val="0"/>
                <w:color w:val="000000"/>
                <w:sz w:val="32"/>
              </w:rPr>
              <w:t>二十年品牌与全国销售服务网络</w:t>
            </w:r>
          </w:p>
        </w:tc>
      </w:tr>
    </w:tbl>
    <w:p>
      <w:pPr>
        <w:spacing w:lineRule="exact" w:line="600" w:before="120" w:after="120"/>
        <w:ind w:firstLine="420"/>
        <w:jc w:val="left"/>
      </w:pPr>
      <w:r>
        <w:rPr>
          <w:rFonts w:ascii="黑体" w:hAnsi="黑体" w:eastAsia="黑体"/>
          <w:b w:val="0"/>
          <w:color w:val="000000"/>
          <w:sz w:val="32"/>
        </w:rPr>
        <w:t>六、风险分析</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风险描述</w:t>
            </w:r>
          </w:p>
        </w:tc>
        <w:tc>
          <w:tcPr>
            <w:tcW w:type="dxa" w:w="2835"/>
          </w:tcPr>
          <w:p>
            <w:pPr>
              <w:spacing w:lineRule="exact" w:line="600"/>
              <w:jc w:val="center"/>
            </w:pPr>
            <w:r/>
            <w:r>
              <w:rPr>
                <w:rFonts w:ascii="黑体" w:hAnsi="黑体" w:eastAsia="黑体"/>
                <w:b/>
                <w:color w:val="000000"/>
                <w:sz w:val="32"/>
              </w:rPr>
              <w:t>应对建议</w:t>
            </w:r>
          </w:p>
        </w:tc>
      </w:tr>
      <w:tr>
        <w:tc>
          <w:tcPr>
            <w:tcW w:type="dxa" w:w="1701"/>
          </w:tcPr>
          <w:p>
            <w:pPr>
              <w:spacing w:lineRule="exact" w:line="600"/>
              <w:jc w:val="center"/>
            </w:pPr>
            <w:r/>
            <w:r>
              <w:rPr>
                <w:rFonts w:ascii="仿宋_GB2312" w:hAnsi="仿宋_GB2312" w:eastAsia="仿宋_GB2312"/>
                <w:b w:val="0"/>
                <w:color w:val="000000"/>
                <w:sz w:val="32"/>
              </w:rPr>
              <w:t>周期波动</w:t>
            </w:r>
          </w:p>
        </w:tc>
        <w:tc>
          <w:tcPr>
            <w:tcW w:type="dxa" w:w="4535"/>
          </w:tcPr>
          <w:p>
            <w:pPr>
              <w:spacing w:lineRule="exact" w:line="600"/>
              <w:jc w:val="center"/>
            </w:pPr>
            <w:r/>
            <w:r>
              <w:rPr>
                <w:rFonts w:ascii="仿宋_GB2312" w:hAnsi="仿宋_GB2312" w:eastAsia="仿宋_GB2312"/>
                <w:b w:val="0"/>
                <w:color w:val="000000"/>
                <w:sz w:val="32"/>
              </w:rPr>
              <w:t>基建与制造业投资影响需求</w:t>
            </w:r>
          </w:p>
        </w:tc>
        <w:tc>
          <w:tcPr>
            <w:tcW w:type="dxa" w:w="2835"/>
          </w:tcPr>
          <w:p>
            <w:pPr>
              <w:spacing w:lineRule="exact" w:line="600"/>
              <w:jc w:val="center"/>
            </w:pPr>
            <w:r/>
            <w:r>
              <w:rPr>
                <w:rFonts w:ascii="仿宋_GB2312" w:hAnsi="仿宋_GB2312" w:eastAsia="仿宋_GB2312"/>
                <w:b w:val="0"/>
                <w:color w:val="000000"/>
                <w:sz w:val="32"/>
              </w:rPr>
              <w:t>拓展智能物流等新场景</w:t>
            </w:r>
          </w:p>
        </w:tc>
      </w:tr>
      <w:tr>
        <w:tc>
          <w:tcPr>
            <w:tcW w:type="dxa" w:w="1701"/>
          </w:tcPr>
          <w:p>
            <w:pPr>
              <w:spacing w:lineRule="exact" w:line="600"/>
              <w:jc w:val="center"/>
            </w:pPr>
            <w:r/>
            <w:r>
              <w:rPr>
                <w:rFonts w:ascii="仿宋_GB2312" w:hAnsi="仿宋_GB2312" w:eastAsia="仿宋_GB2312"/>
                <w:b w:val="0"/>
                <w:color w:val="000000"/>
                <w:sz w:val="32"/>
              </w:rPr>
              <w:t>原材料</w:t>
            </w:r>
          </w:p>
        </w:tc>
        <w:tc>
          <w:tcPr>
            <w:tcW w:type="dxa" w:w="4535"/>
          </w:tcPr>
          <w:p>
            <w:pPr>
              <w:spacing w:lineRule="exact" w:line="600"/>
              <w:jc w:val="center"/>
            </w:pPr>
            <w:r/>
            <w:r>
              <w:rPr>
                <w:rFonts w:ascii="仿宋_GB2312" w:hAnsi="仿宋_GB2312" w:eastAsia="仿宋_GB2312"/>
                <w:b w:val="0"/>
                <w:color w:val="000000"/>
                <w:sz w:val="32"/>
              </w:rPr>
              <w:t>钢材价格传导</w:t>
            </w:r>
          </w:p>
        </w:tc>
        <w:tc>
          <w:tcPr>
            <w:tcW w:type="dxa" w:w="2835"/>
          </w:tcPr>
          <w:p>
            <w:pPr>
              <w:spacing w:lineRule="exact" w:line="600"/>
              <w:jc w:val="center"/>
            </w:pPr>
            <w:r/>
            <w:r>
              <w:rPr>
                <w:rFonts w:ascii="仿宋_GB2312" w:hAnsi="仿宋_GB2312" w:eastAsia="仿宋_GB2312"/>
                <w:b w:val="0"/>
                <w:color w:val="000000"/>
                <w:sz w:val="32"/>
              </w:rPr>
              <w:t>锁价与套保</w:t>
            </w:r>
          </w:p>
        </w:tc>
      </w:tr>
      <w:tr>
        <w:tc>
          <w:tcPr>
            <w:tcW w:type="dxa" w:w="1701"/>
          </w:tcPr>
          <w:p>
            <w:pPr>
              <w:spacing w:lineRule="exact" w:line="600"/>
              <w:jc w:val="center"/>
            </w:pPr>
            <w:r/>
            <w:r>
              <w:rPr>
                <w:rFonts w:ascii="仿宋_GB2312" w:hAnsi="仿宋_GB2312" w:eastAsia="仿宋_GB2312"/>
                <w:b w:val="0"/>
                <w:color w:val="000000"/>
                <w:sz w:val="32"/>
              </w:rPr>
              <w:t>安全风险</w:t>
            </w:r>
          </w:p>
        </w:tc>
        <w:tc>
          <w:tcPr>
            <w:tcW w:type="dxa" w:w="4535"/>
          </w:tcPr>
          <w:p>
            <w:pPr>
              <w:spacing w:lineRule="exact" w:line="600"/>
              <w:jc w:val="center"/>
            </w:pPr>
            <w:r/>
            <w:r>
              <w:rPr>
                <w:rFonts w:ascii="仿宋_GB2312" w:hAnsi="仿宋_GB2312" w:eastAsia="仿宋_GB2312"/>
                <w:b w:val="0"/>
                <w:color w:val="000000"/>
                <w:sz w:val="32"/>
              </w:rPr>
              <w:t>起重设备安全事故责任</w:t>
            </w:r>
          </w:p>
        </w:tc>
        <w:tc>
          <w:tcPr>
            <w:tcW w:type="dxa" w:w="2835"/>
          </w:tcPr>
          <w:p>
            <w:pPr>
              <w:spacing w:lineRule="exact" w:line="600"/>
              <w:jc w:val="center"/>
            </w:pPr>
            <w:r/>
            <w:r>
              <w:rPr>
                <w:rFonts w:ascii="仿宋_GB2312" w:hAnsi="仿宋_GB2312" w:eastAsia="仿宋_GB2312"/>
                <w:b w:val="0"/>
                <w:color w:val="000000"/>
                <w:sz w:val="32"/>
              </w:rPr>
              <w:t>强化质量与安环</w:t>
            </w:r>
          </w:p>
        </w:tc>
      </w:tr>
      <w:tr>
        <w:tc>
          <w:tcPr>
            <w:tcW w:type="dxa" w:w="1701"/>
          </w:tcPr>
          <w:p>
            <w:pPr>
              <w:spacing w:lineRule="exact" w:line="600"/>
              <w:jc w:val="center"/>
            </w:pPr>
            <w:r/>
            <w:r>
              <w:rPr>
                <w:rFonts w:ascii="仿宋_GB2312" w:hAnsi="仿宋_GB2312" w:eastAsia="仿宋_GB2312"/>
                <w:b w:val="0"/>
                <w:color w:val="000000"/>
                <w:sz w:val="32"/>
              </w:rPr>
              <w:t>财务透明</w:t>
            </w:r>
          </w:p>
        </w:tc>
        <w:tc>
          <w:tcPr>
            <w:tcW w:type="dxa" w:w="4535"/>
          </w:tcPr>
          <w:p>
            <w:pPr>
              <w:spacing w:lineRule="exact" w:line="600"/>
              <w:jc w:val="center"/>
            </w:pPr>
            <w:r/>
            <w:r>
              <w:rPr>
                <w:rFonts w:ascii="仿宋_GB2312" w:hAnsi="仿宋_GB2312" w:eastAsia="仿宋_GB2312"/>
                <w:b w:val="0"/>
                <w:color w:val="000000"/>
                <w:sz w:val="32"/>
              </w:rPr>
              <w:t>非上市财务不透明</w:t>
            </w:r>
          </w:p>
        </w:tc>
        <w:tc>
          <w:tcPr>
            <w:tcW w:type="dxa" w:w="2835"/>
          </w:tcPr>
          <w:p>
            <w:pPr>
              <w:spacing w:lineRule="exact" w:line="600"/>
              <w:jc w:val="center"/>
            </w:pPr>
            <w:r/>
            <w:r>
              <w:rPr>
                <w:rFonts w:ascii="仿宋_GB2312" w:hAnsi="仿宋_GB2312" w:eastAsia="仿宋_GB2312"/>
                <w:b w:val="0"/>
                <w:color w:val="000000"/>
                <w:sz w:val="32"/>
              </w:rPr>
              <w:t>尽调核实负债</w:t>
            </w:r>
          </w:p>
        </w:tc>
      </w:tr>
      <w:tr>
        <w:tc>
          <w:tcPr>
            <w:tcW w:type="dxa" w:w="1701"/>
          </w:tcPr>
          <w:p>
            <w:pPr>
              <w:spacing w:lineRule="exact" w:line="600"/>
              <w:jc w:val="center"/>
            </w:pPr>
            <w:r/>
            <w:r>
              <w:rPr>
                <w:rFonts w:ascii="仿宋_GB2312" w:hAnsi="仿宋_GB2312" w:eastAsia="仿宋_GB2312"/>
                <w:b w:val="0"/>
                <w:color w:val="000000"/>
                <w:sz w:val="32"/>
              </w:rPr>
              <w:t>回款</w:t>
            </w:r>
          </w:p>
        </w:tc>
        <w:tc>
          <w:tcPr>
            <w:tcW w:type="dxa" w:w="4535"/>
          </w:tcPr>
          <w:p>
            <w:pPr>
              <w:spacing w:lineRule="exact" w:line="600"/>
              <w:jc w:val="center"/>
            </w:pPr>
            <w:r/>
            <w:r>
              <w:rPr>
                <w:rFonts w:ascii="仿宋_GB2312" w:hAnsi="仿宋_GB2312" w:eastAsia="仿宋_GB2312"/>
                <w:b w:val="0"/>
                <w:color w:val="000000"/>
                <w:sz w:val="32"/>
              </w:rPr>
              <w:t>项目制回款周期长</w:t>
            </w:r>
          </w:p>
        </w:tc>
        <w:tc>
          <w:tcPr>
            <w:tcW w:type="dxa" w:w="2835"/>
          </w:tcPr>
          <w:p>
            <w:pPr>
              <w:spacing w:lineRule="exact" w:line="600"/>
              <w:jc w:val="center"/>
            </w:pPr>
            <w:r/>
            <w:r>
              <w:rPr>
                <w:rFonts w:ascii="仿宋_GB2312" w:hAnsi="仿宋_GB2312" w:eastAsia="仿宋_GB2312"/>
                <w:b w:val="0"/>
                <w:color w:val="000000"/>
                <w:sz w:val="32"/>
              </w:rPr>
              <w:t>信用管理</w:t>
            </w:r>
          </w:p>
        </w:tc>
      </w:tr>
    </w:tbl>
    <w:p>
      <w:pPr>
        <w:spacing w:lineRule="exact" w:line="600" w:before="120" w:after="120"/>
        <w:ind w:firstLine="420"/>
        <w:jc w:val="left"/>
      </w:pPr>
      <w:r>
        <w:rPr>
          <w:rFonts w:ascii="黑体" w:hAnsi="黑体" w:eastAsia="黑体"/>
          <w:b w:val="0"/>
          <w:color w:val="000000"/>
          <w:sz w:val="32"/>
        </w:rPr>
        <w:t>七、融资需求分析</w:t>
      </w:r>
    </w:p>
    <w:p>
      <w:pPr>
        <w:spacing w:lineRule="exact" w:line="600" w:before="120" w:after="120"/>
        <w:ind w:firstLine="420"/>
        <w:jc w:val="left"/>
      </w:pPr>
      <w:r>
        <w:rPr>
          <w:rFonts w:ascii="楷体_GB2312" w:hAnsi="楷体_GB2312" w:eastAsia="楷体_GB2312"/>
          <w:b w:val="0"/>
          <w:color w:val="000000"/>
          <w:sz w:val="32"/>
        </w:rPr>
        <w:t>（一）商业保理</w:t>
      </w:r>
    </w:p>
    <w:p>
      <w:pPr>
        <w:spacing w:lineRule="exact" w:line="600" w:before="0" w:after="0"/>
        <w:ind w:firstLine="420"/>
        <w:jc w:val="both"/>
      </w:pPr>
      <w:r>
        <w:rPr>
          <w:rFonts w:ascii="仿宋_GB2312" w:hAnsi="仿宋_GB2312" w:eastAsia="仿宋_GB2312"/>
          <w:b w:val="0"/>
          <w:color w:val="000000"/>
          <w:sz w:val="32"/>
        </w:rPr>
        <w:t>项目回款形成应收账款，可探索保理加速周转。</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依托集群与核心企业信用，开展钢材采购等供应链融资。</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大型加工与检测设备适合融资租赁，优化资本结构。</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仅作短期周转，优先银行授信与产业基金。</w:t>
      </w:r>
    </w:p>
    <w:p>
      <w:pPr>
        <w:spacing w:lineRule="exact" w:line="600" w:before="120" w:after="120"/>
        <w:ind w:firstLine="420"/>
        <w:jc w:val="left"/>
      </w:pPr>
      <w:r>
        <w:rPr>
          <w:rFonts w:ascii="黑体" w:hAnsi="黑体" w:eastAsia="黑体"/>
          <w:b w:val="0"/>
          <w:color w:val="000000"/>
          <w:sz w:val="32"/>
        </w:rPr>
        <w:t>八、综合评价、展望与建议</w:t>
      </w:r>
    </w:p>
    <w:p>
      <w:pPr>
        <w:spacing w:lineRule="exact" w:line="600" w:before="0" w:after="0"/>
        <w:ind w:firstLine="420"/>
        <w:jc w:val="both"/>
      </w:pPr>
      <w:r>
        <w:rPr>
          <w:rFonts w:ascii="仿宋_GB2312" w:hAnsi="仿宋_GB2312" w:eastAsia="仿宋_GB2312"/>
          <w:b w:val="0"/>
          <w:color w:val="000000"/>
          <w:sz w:val="32"/>
        </w:rPr>
        <w:t>山东龙辉起重机械有限公司是新泰智能起重机械集群的龙头与行业冠军，资质壁垒与产业集群优势突出，规模与品牌具备较强竞争力。短板为财务透明度与智能化转型的资金需求。</w:t>
      </w:r>
    </w:p>
    <w:p>
      <w:pPr>
        <w:spacing w:lineRule="exact" w:line="600" w:before="0" w:after="0"/>
        <w:ind w:firstLine="420"/>
        <w:jc w:val="both"/>
      </w:pPr>
      <w:r>
        <w:rPr>
          <w:rFonts w:ascii="仿宋_GB2312" w:hAnsi="仿宋_GB2312" w:eastAsia="仿宋_GB2312"/>
          <w:b w:val="0"/>
          <w:color w:val="000000"/>
          <w:sz w:val="32"/>
        </w:rPr>
        <w:t>展望：智能制造与绿色物流趋势将扩大智能起重需求。建议投资方以"股权+产业金融"组合介入，重点核查真实营收规模、负债率、重大合同与安环合规，关注其数字孪生等新技术商业化进度。</w:t>
      </w:r>
    </w:p>
    <w:p>
      <w:pPr>
        <w:spacing w:lineRule="exact" w:line="600" w:before="0" w:after="0"/>
        <w:jc w:val="left"/>
      </w:pPr>
      <w:r>
        <w:rPr>
          <w:rFonts w:ascii="仿宋_GB2312" w:hAnsi="仿宋_GB2312" w:eastAsia="仿宋_GB2312"/>
          <w:b w:val="0"/>
          <w:color w:val="000000"/>
          <w:sz w:val="28"/>
        </w:rPr>
        <w:t>数据来源说明：本报告数据来源于国家企业信用信息公示系统/公开工商信息、工信部专精特新"小巨人"及制造业单项冠军名单、新泰市公开报道、行业权威媒体。财务数据为公开估算口径或非公开，已如实标注。相关信息截至检索日，以企业正式披露及尽职调查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