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山东泰安肥城市(锂电新材料)特色产业集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山东丰融新材料有限公司企业分析报告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（本报告依据公开工商信息、肥城市公开报道及企业公开资料编写，用于产业投资参考。非上市公司财务数据未公开披露，均如实标注。数据来源见文末。）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（一）工商基本信息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成立于2023年3月9日，法定代表人为穆林林，注册资本8,800万元人民币，注册地位于山东省泰安市肥城市（锂电新材料特色产业基地）。公司聚焦废旧锂电池回收及梯次利用，参保人数约24人，属于成立时间较短、处于产能建设期的成长型企业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山东丰融新材料有限公司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成立日期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2023-03-09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穆林林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8,800万元人民币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约24人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山东省泰安市肥城市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行业分类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废弃资源综合利用/锂电循环材料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国资参股混合所有制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（二）组织架构与股权结构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体现"国资引导+产业资本"特征：肥城市建投产业投资集团有限公司持股约34.09%（地方国资平台）；泰安盛融投资持股约32.95%；天津祐健科技持股约32.95%。国资入股有助于在土地、融资与政策资源方面获得支持，产业资本则提供技术与市场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（三）历史沿革与发展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公司设立于2023年，是肥城市抢抓锂电回收风口、完善"泰山锂谷"闭环产业链的重要布局，主营动力电池回收拆解、梯次利用及再生材料，处于产能建设与业务起步阶段。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（四）企业定位与战略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公司定位于锂电循环利用环节的"城市矿山"运营商，战略上对接上游报废电池来源与下游再生材料需求，构建"回收—梯次—再生"一体化能力，契合循环经济与动力电池退役高峰趋势。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公司主营废旧动力锂电池回收、梯次利用及镍钴锂等再生材料回收，服务于电池厂、整车厂及储能运营商的退役电池处置需求。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随着新能源汽车保有量增长，动力电池退役量快速上升，回收市场空间广阔。公司依托肥城集群与国资背景，有望对接区域整车及电池企业回收订单，但当前仍处市场拓展初期。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（三）产能与技术布局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公开资料显示，公司获评高新技术企业、创新型中小企业，拥有约33项专利，技术布局覆盖电池拆解、梯次利用与材料再生。作为新设企业，其规模化产能与工艺成熟度仍需时间验证。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（一）财务数据可得性说明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山东丰融新材料有限公司为非上市企业且设立仅两年左右，未公开披露经审计财务报告，财务数据如实标注为未公开。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情况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成立期短，业务起步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建议关注后续披露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国资入股或优化资本结构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专利数量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约33项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公开资料口径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建议尽调核实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（二）成长阶段财务特征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作为2023年新设企业，公司当前处于资本开支与产能建设期，预计短期以投入为主，盈利释放需待产能爬坡与订单放量，投资评估应侧重项目可行性与股东支持力度。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四、公司治理、管理与人力的分析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资参股的混合所有制企业，治理结构应包含国有股东委派董事及民营/产业股东代表，决策兼顾政策导向与市场效率。当前参保约24人，团队精简，处于组建期；后续需补齐工艺、安环与生产管理人才，并建立完善的安全生产与环保合规体系（回收拆解属高危行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核心竞争力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国资背景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肥城建投等国资入股，资源与政策协同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赛道红利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动力电池退役高峰，回收市场高增长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技术储备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高新技术企业，约33项专利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集群闭环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肥城锂电全产业链，上下游衔接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风险描述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应对建议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技术工艺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回收提效与环保达标要求高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持续研发投入与合规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原料波动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回收料来源与计价受锂价影响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多元渠道与长协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电池拆解属高危作业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强化安环体系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盈利周期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新设企业短期难盈利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股东资本支持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政策依赖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补贴与资质政策变动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合规经营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（一）商业保理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回收业务回款周期较长，可探索应收账款保理缓解资金压力。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依托国资股东信用，可开展供应链融资支持设备采购与原料收储。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拆解、环保及检测设备适合融资租赁，降低初期资本开支。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仅作短期周转补充，建议优先争取银行授信与产业基金。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山东丰融新材料有限公司是肥城锂电集群向"循环闭环"延伸的关键拼图，国资入股与赛道红利构成主要优势，但作为新设企业仍面临技术成熟、安全管理与盈利兑现的不确定性。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建议：投资方将其视为产业链战略补位标的，重点核查回收资质（含危废/报废机动车相关许可）、安环合规记录、原料保障与产能规划，优先以产业协同或可转债方式介入，控制早期风险。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本报告数据来源于国家企业信用信息公示系统/公开工商信息、肥城市公开报道、企业公开资料。财务数据因公司未上市且设立期短未公开披露，已如实标注。相关信息截至检索日，后续以企业正式披露及尽职调查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