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山东泰安肥城市(锂电新材料)特色产业集</w:t>
      </w:r>
    </w:p>
    <w:p>
      <w:pPr>
        <w:spacing w:lineRule="exact" w:line="600" w:before="240" w:after="240"/>
        <w:ind w:firstLine="0"/>
        <w:jc w:val="center"/>
      </w:pPr>
      <w:r>
        <w:rPr>
          <w:rFonts w:ascii="方正小标宋简体" w:hAnsi="方正小标宋简体" w:eastAsia="方正小标宋简体"/>
          <w:b w:val="0"/>
          <w:color w:val="000000"/>
          <w:sz w:val="44"/>
        </w:rPr>
        <w:t>山东瑞福锂业有限公司企业分析报告</w:t>
      </w:r>
    </w:p>
    <w:p>
      <w:pPr>
        <w:spacing w:lineRule="exact" w:line="600" w:before="0" w:after="0"/>
        <w:jc w:val="left"/>
      </w:pPr>
      <w:r>
        <w:rPr>
          <w:rFonts w:ascii="仿宋_GB2312" w:hAnsi="仿宋_GB2312" w:eastAsia="仿宋_GB2312"/>
          <w:b w:val="0"/>
          <w:color w:val="000000"/>
          <w:sz w:val="28"/>
        </w:rPr>
        <w:t>（本报告依据公开工商信息、企业官网、工信部专精特新名单、肥城市公开报道及行业权威媒体资料编写，用于产业投资参考。非上市公司财务数据未公开披露，均如实标注。数据来源见文末。）</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（一）工商基本信息</w:t>
      </w:r>
    </w:p>
    <w:p>
      <w:pPr>
        <w:spacing w:lineRule="exact" w:line="600" w:before="0" w:after="0"/>
        <w:ind w:firstLine="420"/>
        <w:jc w:val="both"/>
      </w:pPr>
      <w:r>
        <w:rPr>
          <w:rFonts w:ascii="仿宋_GB2312" w:hAnsi="仿宋_GB2312" w:eastAsia="仿宋_GB2312"/>
          <w:b w:val="0"/>
          <w:color w:val="000000"/>
          <w:sz w:val="32"/>
        </w:rPr>
        <w:t>山东瑞福锂业有限公司成立于2010年11月3日，法定代表人为亓亮，注册资本9,777.78万元人民币，注册地位于山东省泰安市肥城市（锂电新材料特色产业基地）。公司系专业从事锂盐提取与加工的锂电新材料企业，参保人数约690人，属于中型制造业企业规模。</w:t>
      </w:r>
    </w:p>
    <w:tbl>
      <w:tblPr>
        <w:tblStyle w:val="TableGrid"/>
        <w:tblW w:type="auto" w:w="0"/>
        <w:jc w:val="center"/>
        <w:tblLook w:firstColumn="1" w:firstRow="1" w:lastColumn="0" w:lastRow="0" w:noHBand="0" w:noVBand="1" w:val="04A0"/>
      </w:tblPr>
      <w:tblGrid>
        <w:gridCol w:w="4422"/>
        <w:gridCol w:w="4422"/>
      </w:tblGrid>
      <w:tr>
        <w:tc>
          <w:tcPr>
            <w:tcW w:type="dxa" w:w="2268"/>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268"/>
          </w:tcPr>
          <w:p>
            <w:pPr>
              <w:spacing w:lineRule="exact" w:line="600"/>
              <w:jc w:val="center"/>
            </w:pPr>
            <w:r/>
            <w:r>
              <w:rPr>
                <w:rFonts w:ascii="仿宋_GB2312" w:hAnsi="仿宋_GB2312" w:eastAsia="仿宋_GB2312"/>
                <w:b w:val="0"/>
                <w:color w:val="000000"/>
                <w:sz w:val="32"/>
              </w:rPr>
              <w:t>企业名称</w:t>
            </w:r>
          </w:p>
        </w:tc>
        <w:tc>
          <w:tcPr>
            <w:tcW w:type="dxa" w:w="6803"/>
          </w:tcPr>
          <w:p>
            <w:pPr>
              <w:spacing w:lineRule="exact" w:line="600"/>
              <w:jc w:val="center"/>
            </w:pPr>
            <w:r/>
            <w:r>
              <w:rPr>
                <w:rFonts w:ascii="仿宋_GB2312" w:hAnsi="仿宋_GB2312" w:eastAsia="仿宋_GB2312"/>
                <w:b w:val="0"/>
                <w:color w:val="000000"/>
                <w:sz w:val="32"/>
              </w:rPr>
              <w:t>山东瑞福锂业有限公司</w:t>
            </w:r>
          </w:p>
        </w:tc>
      </w:tr>
      <w:tr>
        <w:tc>
          <w:tcPr>
            <w:tcW w:type="dxa" w:w="2268"/>
          </w:tcPr>
          <w:p>
            <w:pPr>
              <w:spacing w:lineRule="exact" w:line="600"/>
              <w:jc w:val="center"/>
            </w:pPr>
            <w:r/>
            <w:r>
              <w:rPr>
                <w:rFonts w:ascii="仿宋_GB2312" w:hAnsi="仿宋_GB2312" w:eastAsia="仿宋_GB2312"/>
                <w:b w:val="0"/>
                <w:color w:val="000000"/>
                <w:sz w:val="32"/>
              </w:rPr>
              <w:t>成立日期</w:t>
            </w:r>
          </w:p>
        </w:tc>
        <w:tc>
          <w:tcPr>
            <w:tcW w:type="dxa" w:w="6803"/>
          </w:tcPr>
          <w:p>
            <w:pPr>
              <w:spacing w:lineRule="exact" w:line="600"/>
              <w:jc w:val="center"/>
            </w:pPr>
            <w:r/>
            <w:r>
              <w:rPr>
                <w:rFonts w:ascii="仿宋_GB2312" w:hAnsi="仿宋_GB2312" w:eastAsia="仿宋_GB2312"/>
                <w:b w:val="0"/>
                <w:color w:val="000000"/>
                <w:sz w:val="32"/>
              </w:rPr>
              <w:t>2010-11-03</w:t>
            </w:r>
          </w:p>
        </w:tc>
      </w:tr>
      <w:tr>
        <w:tc>
          <w:tcPr>
            <w:tcW w:type="dxa" w:w="2268"/>
          </w:tcPr>
          <w:p>
            <w:pPr>
              <w:spacing w:lineRule="exact" w:line="600"/>
              <w:jc w:val="center"/>
            </w:pPr>
            <w:r/>
            <w:r>
              <w:rPr>
                <w:rFonts w:ascii="仿宋_GB2312" w:hAnsi="仿宋_GB2312" w:eastAsia="仿宋_GB2312"/>
                <w:b w:val="0"/>
                <w:color w:val="000000"/>
                <w:sz w:val="32"/>
              </w:rPr>
              <w:t>法定代表人</w:t>
            </w:r>
          </w:p>
        </w:tc>
        <w:tc>
          <w:tcPr>
            <w:tcW w:type="dxa" w:w="6803"/>
          </w:tcPr>
          <w:p>
            <w:pPr>
              <w:spacing w:lineRule="exact" w:line="600"/>
              <w:jc w:val="center"/>
            </w:pPr>
            <w:r/>
            <w:r>
              <w:rPr>
                <w:rFonts w:ascii="仿宋_GB2312" w:hAnsi="仿宋_GB2312" w:eastAsia="仿宋_GB2312"/>
                <w:b w:val="0"/>
                <w:color w:val="000000"/>
                <w:sz w:val="32"/>
              </w:rPr>
              <w:t>亓亮</w:t>
            </w:r>
          </w:p>
        </w:tc>
      </w:tr>
      <w:tr>
        <w:tc>
          <w:tcPr>
            <w:tcW w:type="dxa" w:w="2268"/>
          </w:tcPr>
          <w:p>
            <w:pPr>
              <w:spacing w:lineRule="exact" w:line="600"/>
              <w:jc w:val="center"/>
            </w:pPr>
            <w:r/>
            <w:r>
              <w:rPr>
                <w:rFonts w:ascii="仿宋_GB2312" w:hAnsi="仿宋_GB2312" w:eastAsia="仿宋_GB2312"/>
                <w:b w:val="0"/>
                <w:color w:val="000000"/>
                <w:sz w:val="32"/>
              </w:rPr>
              <w:t>注册资本</w:t>
            </w:r>
          </w:p>
        </w:tc>
        <w:tc>
          <w:tcPr>
            <w:tcW w:type="dxa" w:w="6803"/>
          </w:tcPr>
          <w:p>
            <w:pPr>
              <w:spacing w:lineRule="exact" w:line="600"/>
              <w:jc w:val="center"/>
            </w:pPr>
            <w:r/>
            <w:r>
              <w:rPr>
                <w:rFonts w:ascii="仿宋_GB2312" w:hAnsi="仿宋_GB2312" w:eastAsia="仿宋_GB2312"/>
                <w:b w:val="0"/>
                <w:color w:val="000000"/>
                <w:sz w:val="32"/>
              </w:rPr>
              <w:t>9,777.78万元人民币</w:t>
            </w:r>
          </w:p>
        </w:tc>
      </w:tr>
      <w:tr>
        <w:tc>
          <w:tcPr>
            <w:tcW w:type="dxa" w:w="2268"/>
          </w:tcPr>
          <w:p>
            <w:pPr>
              <w:spacing w:lineRule="exact" w:line="600"/>
              <w:jc w:val="center"/>
            </w:pPr>
            <w:r/>
            <w:r>
              <w:rPr>
                <w:rFonts w:ascii="仿宋_GB2312" w:hAnsi="仿宋_GB2312" w:eastAsia="仿宋_GB2312"/>
                <w:b w:val="0"/>
                <w:color w:val="000000"/>
                <w:sz w:val="32"/>
              </w:rPr>
              <w:t>参保人数</w:t>
            </w:r>
          </w:p>
        </w:tc>
        <w:tc>
          <w:tcPr>
            <w:tcW w:type="dxa" w:w="6803"/>
          </w:tcPr>
          <w:p>
            <w:pPr>
              <w:spacing w:lineRule="exact" w:line="600"/>
              <w:jc w:val="center"/>
            </w:pPr>
            <w:r/>
            <w:r>
              <w:rPr>
                <w:rFonts w:ascii="仿宋_GB2312" w:hAnsi="仿宋_GB2312" w:eastAsia="仿宋_GB2312"/>
                <w:b w:val="0"/>
                <w:color w:val="000000"/>
                <w:sz w:val="32"/>
              </w:rPr>
              <w:t>约690人</w:t>
            </w:r>
          </w:p>
        </w:tc>
      </w:tr>
      <w:tr>
        <w:tc>
          <w:tcPr>
            <w:tcW w:type="dxa" w:w="2268"/>
          </w:tcPr>
          <w:p>
            <w:pPr>
              <w:spacing w:lineRule="exact" w:line="600"/>
              <w:jc w:val="center"/>
            </w:pPr>
            <w:r/>
            <w:r>
              <w:rPr>
                <w:rFonts w:ascii="仿宋_GB2312" w:hAnsi="仿宋_GB2312" w:eastAsia="仿宋_GB2312"/>
                <w:b w:val="0"/>
                <w:color w:val="000000"/>
                <w:sz w:val="32"/>
              </w:rPr>
              <w:t>注册地</w:t>
            </w:r>
          </w:p>
        </w:tc>
        <w:tc>
          <w:tcPr>
            <w:tcW w:type="dxa" w:w="6803"/>
          </w:tcPr>
          <w:p>
            <w:pPr>
              <w:spacing w:lineRule="exact" w:line="600"/>
              <w:jc w:val="center"/>
            </w:pPr>
            <w:r/>
            <w:r>
              <w:rPr>
                <w:rFonts w:ascii="仿宋_GB2312" w:hAnsi="仿宋_GB2312" w:eastAsia="仿宋_GB2312"/>
                <w:b w:val="0"/>
                <w:color w:val="000000"/>
                <w:sz w:val="32"/>
              </w:rPr>
              <w:t>山东省泰安市肥城市</w:t>
            </w:r>
          </w:p>
        </w:tc>
      </w:tr>
      <w:tr>
        <w:tc>
          <w:tcPr>
            <w:tcW w:type="dxa" w:w="2268"/>
          </w:tcPr>
          <w:p>
            <w:pPr>
              <w:spacing w:lineRule="exact" w:line="600"/>
              <w:jc w:val="center"/>
            </w:pPr>
            <w:r/>
            <w:r>
              <w:rPr>
                <w:rFonts w:ascii="仿宋_GB2312" w:hAnsi="仿宋_GB2312" w:eastAsia="仿宋_GB2312"/>
                <w:b w:val="0"/>
                <w:color w:val="000000"/>
                <w:sz w:val="32"/>
              </w:rPr>
              <w:t>行业分类</w:t>
            </w:r>
          </w:p>
        </w:tc>
        <w:tc>
          <w:tcPr>
            <w:tcW w:type="dxa" w:w="6803"/>
          </w:tcPr>
          <w:p>
            <w:pPr>
              <w:spacing w:lineRule="exact" w:line="600"/>
              <w:jc w:val="center"/>
            </w:pPr>
            <w:r/>
            <w:r>
              <w:rPr>
                <w:rFonts w:ascii="仿宋_GB2312" w:hAnsi="仿宋_GB2312" w:eastAsia="仿宋_GB2312"/>
                <w:b w:val="0"/>
                <w:color w:val="000000"/>
                <w:sz w:val="32"/>
              </w:rPr>
              <w:t>化学原料和化学制品制造业（锂盐/锂电新材料）</w:t>
            </w:r>
          </w:p>
        </w:tc>
      </w:tr>
      <w:tr>
        <w:tc>
          <w:tcPr>
            <w:tcW w:type="dxa" w:w="2268"/>
          </w:tcPr>
          <w:p>
            <w:pPr>
              <w:spacing w:lineRule="exact" w:line="600"/>
              <w:jc w:val="center"/>
            </w:pPr>
            <w:r/>
            <w:r>
              <w:rPr>
                <w:rFonts w:ascii="仿宋_GB2312" w:hAnsi="仿宋_GB2312" w:eastAsia="仿宋_GB2312"/>
                <w:b w:val="0"/>
                <w:color w:val="000000"/>
                <w:sz w:val="32"/>
              </w:rPr>
              <w:t>企业性质</w:t>
            </w:r>
          </w:p>
        </w:tc>
        <w:tc>
          <w:tcPr>
            <w:tcW w:type="dxa" w:w="6803"/>
          </w:tcPr>
          <w:p>
            <w:pPr>
              <w:spacing w:lineRule="exact" w:line="600"/>
              <w:jc w:val="center"/>
            </w:pPr>
            <w:r/>
            <w:r>
              <w:rPr>
                <w:rFonts w:ascii="仿宋_GB2312" w:hAnsi="仿宋_GB2312" w:eastAsia="仿宋_GB2312"/>
                <w:b w:val="0"/>
                <w:color w:val="000000"/>
                <w:sz w:val="32"/>
              </w:rPr>
              <w:t>民营控股（自然人及机构持股）</w:t>
            </w:r>
          </w:p>
        </w:tc>
      </w:tr>
    </w:tbl>
    <w:p>
      <w:pPr>
        <w:spacing w:lineRule="exact" w:line="600" w:before="120" w:after="120"/>
        <w:ind w:firstLine="420"/>
        <w:jc w:val="left"/>
      </w:pPr>
      <w:r>
        <w:rPr>
          <w:rFonts w:ascii="楷体_GB2312" w:hAnsi="楷体_GB2312" w:eastAsia="楷体_GB2312"/>
          <w:b w:val="0"/>
          <w:color w:val="000000"/>
          <w:sz w:val="32"/>
        </w:rPr>
        <w:t>（二）组织架构与股权结构</w:t>
      </w:r>
    </w:p>
    <w:p>
      <w:pPr>
        <w:spacing w:lineRule="exact" w:line="600" w:before="0" w:after="0"/>
        <w:ind w:firstLine="420"/>
        <w:jc w:val="both"/>
      </w:pPr>
      <w:r>
        <w:rPr>
          <w:rFonts w:ascii="仿宋_GB2312" w:hAnsi="仿宋_GB2312" w:eastAsia="仿宋_GB2312"/>
          <w:b w:val="0"/>
          <w:color w:val="000000"/>
          <w:sz w:val="32"/>
        </w:rPr>
        <w:t>根据公开工商信息，公司股权相对集中：自然人亓亮持股约48.45%，为第一大股东及实际控制人；宁波鼎迅股权投资合伙企业（有限合伙）持股约22.20%；惠州亿威锂电材料相关主体持股约20.00%；王明悦持股约7.98%；其余由少量机构及自然人持有。整体为民营控股、多方产业资本参股的混合所有制结构，有利于整合上游资源与下游客户。</w:t>
      </w:r>
    </w:p>
    <w:p>
      <w:pPr>
        <w:spacing w:lineRule="exact" w:line="600" w:before="120" w:after="120"/>
        <w:ind w:firstLine="420"/>
        <w:jc w:val="left"/>
      </w:pPr>
      <w:r>
        <w:rPr>
          <w:rFonts w:ascii="楷体_GB2312" w:hAnsi="楷体_GB2312" w:eastAsia="楷体_GB2312"/>
          <w:b w:val="0"/>
          <w:color w:val="000000"/>
          <w:sz w:val="32"/>
        </w:rPr>
        <w:t>（三）历史沿革与发展</w:t>
      </w:r>
    </w:p>
    <w:p>
      <w:pPr>
        <w:spacing w:lineRule="exact" w:line="600" w:before="0" w:after="0"/>
        <w:ind w:firstLine="420"/>
        <w:jc w:val="both"/>
      </w:pPr>
      <w:r>
        <w:rPr>
          <w:rFonts w:ascii="仿宋_GB2312" w:hAnsi="仿宋_GB2312" w:eastAsia="仿宋_GB2312"/>
          <w:b w:val="0"/>
          <w:color w:val="000000"/>
          <w:sz w:val="32"/>
        </w:rPr>
        <w:t>公司自2010年设立以来，聚焦锂云母、锂辉石提锂及盐湖资源综合利用路线，逐步建成碳酸锂、氢氧化锂等基础锂盐产能。受益于新能源汽车与储能产业爆发，公司已成为山东肥城锂电新材料产业集群的骨干企业之一，并设立子公司山东泰普锂业进一步延伸产业链。</w:t>
      </w:r>
    </w:p>
    <w:p>
      <w:pPr>
        <w:spacing w:lineRule="exact" w:line="600" w:before="120" w:after="120"/>
        <w:ind w:firstLine="420"/>
        <w:jc w:val="left"/>
      </w:pPr>
      <w:r>
        <w:rPr>
          <w:rFonts w:ascii="楷体_GB2312" w:hAnsi="楷体_GB2312" w:eastAsia="楷体_GB2312"/>
          <w:b w:val="0"/>
          <w:color w:val="000000"/>
          <w:sz w:val="32"/>
        </w:rPr>
        <w:t>（四）企业定位与战略</w:t>
      </w:r>
    </w:p>
    <w:p>
      <w:pPr>
        <w:spacing w:lineRule="exact" w:line="600" w:before="0" w:after="0"/>
        <w:ind w:firstLine="420"/>
        <w:jc w:val="both"/>
      </w:pPr>
      <w:r>
        <w:rPr>
          <w:rFonts w:ascii="仿宋_GB2312" w:hAnsi="仿宋_GB2312" w:eastAsia="仿宋_GB2312"/>
          <w:b w:val="0"/>
          <w:color w:val="000000"/>
          <w:sz w:val="32"/>
        </w:rPr>
        <w:t>公司定位于锂电正极材料上游基础锂盐供应商，战略上以"资源+产能"双轮驱动，强化与下游正极材料、电池企业的绑定；同时依托肥城市"泰山锂谷"产业生态，向高纯锂盐、电池级氢氧化锂等高端产品升级，提升单位产值与抗周期能力。</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（一）主营业务与产品</w:t>
      </w:r>
    </w:p>
    <w:p>
      <w:pPr>
        <w:spacing w:lineRule="exact" w:line="600" w:before="0" w:after="0"/>
        <w:ind w:firstLine="420"/>
        <w:jc w:val="both"/>
      </w:pPr>
      <w:r>
        <w:rPr>
          <w:rFonts w:ascii="仿宋_GB2312" w:hAnsi="仿宋_GB2312" w:eastAsia="仿宋_GB2312"/>
          <w:b w:val="0"/>
          <w:color w:val="000000"/>
          <w:sz w:val="32"/>
        </w:rPr>
        <w:t>公司主营碳酸锂、氢氧化锂等电池级锂盐产品，广泛应用于动力电池、储能电池正极材料制造。核心产品为工业级及电池级碳酸锂，并具备氢氧化锂产能，产品可满足三元及磷酸铁锂电池体系需求。</w:t>
      </w:r>
    </w:p>
    <w:p>
      <w:pPr>
        <w:spacing w:lineRule="exact" w:line="600" w:before="120" w:after="120"/>
        <w:ind w:firstLine="420"/>
        <w:jc w:val="left"/>
      </w:pPr>
      <w:r>
        <w:rPr>
          <w:rFonts w:ascii="楷体_GB2312" w:hAnsi="楷体_GB2312" w:eastAsia="楷体_GB2312"/>
          <w:b w:val="0"/>
          <w:color w:val="000000"/>
          <w:sz w:val="32"/>
        </w:rPr>
        <w:t>（二）市场与客户</w:t>
      </w:r>
    </w:p>
    <w:p>
      <w:pPr>
        <w:spacing w:lineRule="exact" w:line="600" w:before="0" w:after="0"/>
        <w:ind w:firstLine="420"/>
        <w:jc w:val="both"/>
      </w:pPr>
      <w:r>
        <w:rPr>
          <w:rFonts w:ascii="仿宋_GB2312" w:hAnsi="仿宋_GB2312" w:eastAsia="仿宋_GB2312"/>
          <w:b w:val="0"/>
          <w:color w:val="000000"/>
          <w:sz w:val="32"/>
        </w:rPr>
        <w:t>公司客户覆盖国内主流正极材料厂及电池企业，销售以长协与现货结合为主。肥城锂电产业集群已集聚正极、负极、电解液、隔膜及电池回收等上下游企业，公司地处产业链上游，区位配套优势明显，可降低物流与协同成本。</w:t>
      </w:r>
    </w:p>
    <w:p>
      <w:pPr>
        <w:spacing w:lineRule="exact" w:line="600" w:before="120" w:after="120"/>
        <w:ind w:firstLine="420"/>
        <w:jc w:val="left"/>
      </w:pPr>
      <w:r>
        <w:rPr>
          <w:rFonts w:ascii="楷体_GB2312" w:hAnsi="楷体_GB2312" w:eastAsia="楷体_GB2312"/>
          <w:b w:val="0"/>
          <w:color w:val="000000"/>
          <w:sz w:val="32"/>
        </w:rPr>
        <w:t>（三）产能与技术布局</w:t>
      </w:r>
    </w:p>
    <w:p>
      <w:pPr>
        <w:spacing w:lineRule="exact" w:line="600" w:before="0" w:after="0"/>
        <w:ind w:firstLine="420"/>
        <w:jc w:val="both"/>
      </w:pPr>
      <w:r>
        <w:rPr>
          <w:rFonts w:ascii="仿宋_GB2312" w:hAnsi="仿宋_GB2312" w:eastAsia="仿宋_GB2312"/>
          <w:b w:val="0"/>
          <w:color w:val="000000"/>
          <w:sz w:val="32"/>
        </w:rPr>
        <w:t>公开资料显示，公司碳酸锂产能约4万吨/年，氢氧化锂产能约1.5万吨/年，并拥有锂渣资源化利用等配套能力。公司注重提锂工艺优化与能耗控制，先后获评国家级专精特新"小巨人"企业、国家级绿色工厂，体现了在细分领域的技术积淀与绿色制造水平。</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（一）财务数据可得性说明</w:t>
      </w:r>
    </w:p>
    <w:p>
      <w:pPr>
        <w:spacing w:lineRule="exact" w:line="600" w:before="0" w:after="0"/>
        <w:ind w:firstLine="420"/>
        <w:jc w:val="both"/>
      </w:pPr>
      <w:r>
        <w:rPr>
          <w:rFonts w:ascii="仿宋_GB2312" w:hAnsi="仿宋_GB2312" w:eastAsia="仿宋_GB2312"/>
          <w:b w:val="0"/>
          <w:color w:val="000000"/>
          <w:sz w:val="32"/>
        </w:rPr>
        <w:t>山东瑞福锂业有限公司为非上市民营企业，未公开披露经审计的年度财务报告，以下财务数据依据公开报道与行业测算口径列示，仅供投资参考，不作为审计结论。</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指标</w:t>
            </w:r>
          </w:p>
        </w:tc>
        <w:tc>
          <w:tcPr>
            <w:tcW w:type="dxa" w:w="3685"/>
          </w:tcPr>
          <w:p>
            <w:pPr>
              <w:spacing w:lineRule="exact" w:line="600"/>
              <w:jc w:val="center"/>
            </w:pPr>
            <w:r/>
            <w:r>
              <w:rPr>
                <w:rFonts w:ascii="黑体" w:hAnsi="黑体" w:eastAsia="黑体"/>
                <w:b/>
                <w:color w:val="000000"/>
                <w:sz w:val="32"/>
              </w:rPr>
              <w:t>情况/估算</w:t>
            </w:r>
          </w:p>
        </w:tc>
        <w:tc>
          <w:tcPr>
            <w:tcW w:type="dxa" w:w="3402"/>
          </w:tcPr>
          <w:p>
            <w:pPr>
              <w:spacing w:lineRule="exact" w:line="600"/>
              <w:jc w:val="center"/>
            </w:pPr>
            <w:r/>
            <w:r>
              <w:rPr>
                <w:rFonts w:ascii="黑体" w:hAnsi="黑体" w:eastAsia="黑体"/>
                <w:b/>
                <w:color w:val="000000"/>
                <w:sz w:val="32"/>
              </w:rPr>
              <w:t>说明</w:t>
            </w:r>
          </w:p>
        </w:tc>
      </w:tr>
      <w:tr>
        <w:tc>
          <w:tcPr>
            <w:tcW w:type="dxa" w:w="1984"/>
          </w:tcPr>
          <w:p>
            <w:pPr>
              <w:spacing w:lineRule="exact" w:line="600"/>
              <w:jc w:val="center"/>
            </w:pPr>
            <w:r/>
            <w:r>
              <w:rPr>
                <w:rFonts w:ascii="仿宋_GB2312" w:hAnsi="仿宋_GB2312" w:eastAsia="仿宋_GB2312"/>
                <w:b w:val="0"/>
                <w:color w:val="000000"/>
                <w:sz w:val="32"/>
              </w:rPr>
              <w:t>营业收入</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非上市，无强制披露义务</w:t>
            </w:r>
          </w:p>
        </w:tc>
      </w:tr>
      <w:tr>
        <w:tc>
          <w:tcPr>
            <w:tcW w:type="dxa" w:w="1984"/>
          </w:tcPr>
          <w:p>
            <w:pPr>
              <w:spacing w:lineRule="exact" w:line="600"/>
              <w:jc w:val="center"/>
            </w:pPr>
            <w:r/>
            <w:r>
              <w:rPr>
                <w:rFonts w:ascii="仿宋_GB2312" w:hAnsi="仿宋_GB2312" w:eastAsia="仿宋_GB2312"/>
                <w:b w:val="0"/>
                <w:color w:val="000000"/>
                <w:sz w:val="32"/>
              </w:rPr>
              <w:t>净利润</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行业媒体未披露具体数值</w:t>
            </w:r>
          </w:p>
        </w:tc>
      </w:tr>
      <w:tr>
        <w:tc>
          <w:tcPr>
            <w:tcW w:type="dxa" w:w="1984"/>
          </w:tcPr>
          <w:p>
            <w:pPr>
              <w:spacing w:lineRule="exact" w:line="600"/>
              <w:jc w:val="center"/>
            </w:pPr>
            <w:r/>
            <w:r>
              <w:rPr>
                <w:rFonts w:ascii="仿宋_GB2312" w:hAnsi="仿宋_GB2312" w:eastAsia="仿宋_GB2312"/>
                <w:b w:val="0"/>
                <w:color w:val="000000"/>
                <w:sz w:val="32"/>
              </w:rPr>
              <w:t>资产负债率</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建议关注后续尽调获取</w:t>
            </w:r>
          </w:p>
        </w:tc>
      </w:tr>
      <w:tr>
        <w:tc>
          <w:tcPr>
            <w:tcW w:type="dxa" w:w="1984"/>
          </w:tcPr>
          <w:p>
            <w:pPr>
              <w:spacing w:lineRule="exact" w:line="600"/>
              <w:jc w:val="center"/>
            </w:pPr>
            <w:r/>
            <w:r>
              <w:rPr>
                <w:rFonts w:ascii="仿宋_GB2312" w:hAnsi="仿宋_GB2312" w:eastAsia="仿宋_GB2312"/>
                <w:b w:val="0"/>
                <w:color w:val="000000"/>
                <w:sz w:val="32"/>
              </w:rPr>
              <w:t>锂盐产能</w:t>
            </w:r>
          </w:p>
        </w:tc>
        <w:tc>
          <w:tcPr>
            <w:tcW w:type="dxa" w:w="3685"/>
          </w:tcPr>
          <w:p>
            <w:pPr>
              <w:spacing w:lineRule="exact" w:line="600"/>
              <w:jc w:val="center"/>
            </w:pPr>
            <w:r/>
            <w:r>
              <w:rPr>
                <w:rFonts w:ascii="仿宋_GB2312" w:hAnsi="仿宋_GB2312" w:eastAsia="仿宋_GB2312"/>
                <w:b w:val="0"/>
                <w:color w:val="000000"/>
                <w:sz w:val="32"/>
              </w:rPr>
              <w:t>碳酸锂约4万吨/年、氢氧化锂约1.5万吨/年</w:t>
            </w:r>
          </w:p>
        </w:tc>
        <w:tc>
          <w:tcPr>
            <w:tcW w:type="dxa" w:w="3402"/>
          </w:tcPr>
          <w:p>
            <w:pPr>
              <w:spacing w:lineRule="exact" w:line="600"/>
              <w:jc w:val="center"/>
            </w:pPr>
            <w:r/>
            <w:r>
              <w:rPr>
                <w:rFonts w:ascii="仿宋_GB2312" w:hAnsi="仿宋_GB2312" w:eastAsia="仿宋_GB2312"/>
                <w:b w:val="0"/>
                <w:color w:val="000000"/>
                <w:sz w:val="32"/>
              </w:rPr>
              <w:t>公开报道口径</w:t>
            </w:r>
          </w:p>
        </w:tc>
      </w:tr>
      <w:tr>
        <w:tc>
          <w:tcPr>
            <w:tcW w:type="dxa" w:w="1984"/>
          </w:tcPr>
          <w:p>
            <w:pPr>
              <w:spacing w:lineRule="exact" w:line="600"/>
              <w:jc w:val="center"/>
            </w:pPr>
            <w:r/>
            <w:r>
              <w:rPr>
                <w:rFonts w:ascii="仿宋_GB2312" w:hAnsi="仿宋_GB2312" w:eastAsia="仿宋_GB2312"/>
                <w:b w:val="0"/>
                <w:color w:val="000000"/>
                <w:sz w:val="32"/>
              </w:rPr>
              <w:t>经营现金流</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建议尽调核实</w:t>
            </w:r>
          </w:p>
        </w:tc>
      </w:tr>
    </w:tbl>
    <w:p>
      <w:pPr>
        <w:spacing w:lineRule="exact" w:line="600" w:before="120" w:after="120"/>
        <w:ind w:firstLine="420"/>
        <w:jc w:val="left"/>
      </w:pPr>
      <w:r>
        <w:rPr>
          <w:rFonts w:ascii="楷体_GB2312" w:hAnsi="楷体_GB2312" w:eastAsia="楷体_GB2312"/>
          <w:b w:val="0"/>
          <w:color w:val="000000"/>
          <w:sz w:val="32"/>
        </w:rPr>
        <w:t>（二）盈利与周期特征</w:t>
      </w:r>
    </w:p>
    <w:p>
      <w:pPr>
        <w:spacing w:lineRule="exact" w:line="600" w:before="0" w:after="0"/>
        <w:ind w:firstLine="420"/>
        <w:jc w:val="both"/>
      </w:pPr>
      <w:r>
        <w:rPr>
          <w:rFonts w:ascii="仿宋_GB2312" w:hAnsi="仿宋_GB2312" w:eastAsia="仿宋_GB2312"/>
          <w:b w:val="0"/>
          <w:color w:val="000000"/>
          <w:sz w:val="32"/>
        </w:rPr>
        <w:t>锂盐行业具有强周期属性，产品价格随碳酸锂现货大幅波动，公司盈利与锂盐价格高度相关。2022—2023年锂价经历高位回落，行业盈利普遍承压；公司凭借产能规模与绿色工厂成本管控，抗波动能力优于中小产能，但周期性风险仍是核心财务特征。</w:t>
      </w:r>
    </w:p>
    <w:p>
      <w:pPr>
        <w:spacing w:lineRule="exact" w:line="600" w:before="120" w:after="120"/>
        <w:ind w:firstLine="420"/>
        <w:jc w:val="left"/>
      </w:pPr>
      <w:r>
        <w:rPr>
          <w:rFonts w:ascii="黑体" w:hAnsi="黑体" w:eastAsia="黑体"/>
          <w:b w:val="0"/>
          <w:color w:val="000000"/>
          <w:sz w:val="32"/>
        </w:rPr>
        <w:t>四、公司治理、管理与人力的分析</w:t>
      </w:r>
    </w:p>
    <w:p>
      <w:pPr>
        <w:spacing w:lineRule="exact" w:line="600" w:before="0" w:after="0"/>
        <w:ind w:firstLine="420"/>
        <w:jc w:val="both"/>
      </w:pPr>
      <w:r>
        <w:rPr>
          <w:rFonts w:ascii="仿宋_GB2312" w:hAnsi="仿宋_GB2312" w:eastAsia="仿宋_GB2312"/>
          <w:b w:val="0"/>
          <w:color w:val="000000"/>
          <w:sz w:val="32"/>
        </w:rPr>
        <w:t>公司为民营控股，治理结构以股东会、执行董事/董事会及经营管理层为主，实际控制人亓亮在锂盐行业具有较深的资源与运营经验。管理团队在提锂工艺、生产管理方面积累了多年实践。人力资源方面，公司参保约690人，以生产制造、工艺技术及一线操作岗位为主，技术工人占比稳定，具备规模化连续生产的人力基础。建议后续关注核心技术人员稳定性及股权激励安排。</w:t>
      </w:r>
    </w:p>
    <w:p>
      <w:pPr>
        <w:spacing w:lineRule="exact" w:line="600" w:before="120" w:after="120"/>
        <w:ind w:firstLine="420"/>
        <w:jc w:val="left"/>
      </w:pPr>
      <w:r>
        <w:rPr>
          <w:rFonts w:ascii="黑体" w:hAnsi="黑体" w:eastAsia="黑体"/>
          <w:b w:val="0"/>
          <w:color w:val="000000"/>
          <w:sz w:val="32"/>
        </w:rPr>
        <w:t>五、核心竞争力分析</w:t>
      </w:r>
    </w:p>
    <w:tbl>
      <w:tblPr>
        <w:tblStyle w:val="TableGrid"/>
        <w:tblW w:type="auto" w:w="0"/>
        <w:jc w:val="center"/>
        <w:tblLook w:firstColumn="1" w:firstRow="1" w:lastColumn="0" w:lastRow="0" w:noHBand="0" w:noVBand="1" w:val="04A0"/>
      </w:tblPr>
      <w:tblGrid>
        <w:gridCol w:w="4422"/>
        <w:gridCol w:w="4422"/>
      </w:tblGrid>
      <w:tr>
        <w:tc>
          <w:tcPr>
            <w:tcW w:type="dxa" w:w="2268"/>
          </w:tcPr>
          <w:p>
            <w:pPr>
              <w:spacing w:lineRule="exact" w:line="600"/>
              <w:jc w:val="center"/>
            </w:pPr>
            <w:r/>
            <w:r>
              <w:rPr>
                <w:rFonts w:ascii="黑体" w:hAnsi="黑体" w:eastAsia="黑体"/>
                <w:b/>
                <w:color w:val="000000"/>
                <w:sz w:val="32"/>
              </w:rPr>
              <w:t>核心竞争力</w:t>
            </w:r>
          </w:p>
        </w:tc>
        <w:tc>
          <w:tcPr>
            <w:tcW w:type="dxa" w:w="6803"/>
          </w:tcPr>
          <w:p>
            <w:pPr>
              <w:spacing w:lineRule="exact" w:line="600"/>
              <w:jc w:val="center"/>
            </w:pPr>
            <w:r/>
            <w:r>
              <w:rPr>
                <w:rFonts w:ascii="黑体" w:hAnsi="黑体" w:eastAsia="黑体"/>
                <w:b/>
                <w:color w:val="000000"/>
                <w:sz w:val="32"/>
              </w:rPr>
              <w:t>具体表现</w:t>
            </w:r>
          </w:p>
        </w:tc>
      </w:tr>
      <w:tr>
        <w:tc>
          <w:tcPr>
            <w:tcW w:type="dxa" w:w="2268"/>
          </w:tcPr>
          <w:p>
            <w:pPr>
              <w:spacing w:lineRule="exact" w:line="600"/>
              <w:jc w:val="center"/>
            </w:pPr>
            <w:r/>
            <w:r>
              <w:rPr>
                <w:rFonts w:ascii="仿宋_GB2312" w:hAnsi="仿宋_GB2312" w:eastAsia="仿宋_GB2312"/>
                <w:b w:val="0"/>
                <w:color w:val="000000"/>
                <w:sz w:val="32"/>
              </w:rPr>
              <w:t>产能规模优势</w:t>
            </w:r>
          </w:p>
        </w:tc>
        <w:tc>
          <w:tcPr>
            <w:tcW w:type="dxa" w:w="6803"/>
          </w:tcPr>
          <w:p>
            <w:pPr>
              <w:spacing w:lineRule="exact" w:line="600"/>
              <w:jc w:val="center"/>
            </w:pPr>
            <w:r/>
            <w:r>
              <w:rPr>
                <w:rFonts w:ascii="仿宋_GB2312" w:hAnsi="仿宋_GB2312" w:eastAsia="仿宋_GB2312"/>
                <w:b w:val="0"/>
                <w:color w:val="000000"/>
                <w:sz w:val="32"/>
              </w:rPr>
              <w:t>碳酸锂约4万吨/年、氢氧化锂约1.5万吨/年，居区域前列</w:t>
            </w:r>
          </w:p>
        </w:tc>
      </w:tr>
      <w:tr>
        <w:tc>
          <w:tcPr>
            <w:tcW w:type="dxa" w:w="2268"/>
          </w:tcPr>
          <w:p>
            <w:pPr>
              <w:spacing w:lineRule="exact" w:line="600"/>
              <w:jc w:val="center"/>
            </w:pPr>
            <w:r/>
            <w:r>
              <w:rPr>
                <w:rFonts w:ascii="仿宋_GB2312" w:hAnsi="仿宋_GB2312" w:eastAsia="仿宋_GB2312"/>
                <w:b w:val="0"/>
                <w:color w:val="000000"/>
                <w:sz w:val="32"/>
              </w:rPr>
              <w:t>资质壁垒</w:t>
            </w:r>
          </w:p>
        </w:tc>
        <w:tc>
          <w:tcPr>
            <w:tcW w:type="dxa" w:w="6803"/>
          </w:tcPr>
          <w:p>
            <w:pPr>
              <w:spacing w:lineRule="exact" w:line="600"/>
              <w:jc w:val="center"/>
            </w:pPr>
            <w:r/>
            <w:r>
              <w:rPr>
                <w:rFonts w:ascii="仿宋_GB2312" w:hAnsi="仿宋_GB2312" w:eastAsia="仿宋_GB2312"/>
                <w:b w:val="0"/>
                <w:color w:val="000000"/>
                <w:sz w:val="32"/>
              </w:rPr>
              <w:t>国家级专精特新"小巨人"、国家级绿色工厂</w:t>
            </w:r>
          </w:p>
        </w:tc>
      </w:tr>
      <w:tr>
        <w:tc>
          <w:tcPr>
            <w:tcW w:type="dxa" w:w="2268"/>
          </w:tcPr>
          <w:p>
            <w:pPr>
              <w:spacing w:lineRule="exact" w:line="600"/>
              <w:jc w:val="center"/>
            </w:pPr>
            <w:r/>
            <w:r>
              <w:rPr>
                <w:rFonts w:ascii="仿宋_GB2312" w:hAnsi="仿宋_GB2312" w:eastAsia="仿宋_GB2312"/>
                <w:b w:val="0"/>
                <w:color w:val="000000"/>
                <w:sz w:val="32"/>
              </w:rPr>
              <w:t>区位集群</w:t>
            </w:r>
          </w:p>
        </w:tc>
        <w:tc>
          <w:tcPr>
            <w:tcW w:type="dxa" w:w="6803"/>
          </w:tcPr>
          <w:p>
            <w:pPr>
              <w:spacing w:lineRule="exact" w:line="600"/>
              <w:jc w:val="center"/>
            </w:pPr>
            <w:r/>
            <w:r>
              <w:rPr>
                <w:rFonts w:ascii="仿宋_GB2312" w:hAnsi="仿宋_GB2312" w:eastAsia="仿宋_GB2312"/>
                <w:b w:val="0"/>
                <w:color w:val="000000"/>
                <w:sz w:val="32"/>
              </w:rPr>
              <w:t>肥城"泰山锂谷"全产业链配套，上下游协同</w:t>
            </w:r>
          </w:p>
        </w:tc>
      </w:tr>
      <w:tr>
        <w:tc>
          <w:tcPr>
            <w:tcW w:type="dxa" w:w="2268"/>
          </w:tcPr>
          <w:p>
            <w:pPr>
              <w:spacing w:lineRule="exact" w:line="600"/>
              <w:jc w:val="center"/>
            </w:pPr>
            <w:r/>
            <w:r>
              <w:rPr>
                <w:rFonts w:ascii="仿宋_GB2312" w:hAnsi="仿宋_GB2312" w:eastAsia="仿宋_GB2312"/>
                <w:b w:val="0"/>
                <w:color w:val="000000"/>
                <w:sz w:val="32"/>
              </w:rPr>
              <w:t>资源与技术</w:t>
            </w:r>
          </w:p>
        </w:tc>
        <w:tc>
          <w:tcPr>
            <w:tcW w:type="dxa" w:w="6803"/>
          </w:tcPr>
          <w:p>
            <w:pPr>
              <w:spacing w:lineRule="exact" w:line="600"/>
              <w:jc w:val="center"/>
            </w:pPr>
            <w:r/>
            <w:r>
              <w:rPr>
                <w:rFonts w:ascii="仿宋_GB2312" w:hAnsi="仿宋_GB2312" w:eastAsia="仿宋_GB2312"/>
                <w:b w:val="0"/>
                <w:color w:val="000000"/>
                <w:sz w:val="32"/>
              </w:rPr>
              <w:t>锂云母/锂辉石提锂工艺积累，锂渣资源化能力</w:t>
            </w:r>
          </w:p>
        </w:tc>
      </w:tr>
      <w:tr>
        <w:tc>
          <w:tcPr>
            <w:tcW w:type="dxa" w:w="2268"/>
          </w:tcPr>
          <w:p>
            <w:pPr>
              <w:spacing w:lineRule="exact" w:line="600"/>
              <w:jc w:val="center"/>
            </w:pPr>
            <w:r/>
            <w:r>
              <w:rPr>
                <w:rFonts w:ascii="仿宋_GB2312" w:hAnsi="仿宋_GB2312" w:eastAsia="仿宋_GB2312"/>
                <w:b w:val="0"/>
                <w:color w:val="000000"/>
                <w:sz w:val="32"/>
              </w:rPr>
              <w:t>股东结构</w:t>
            </w:r>
          </w:p>
        </w:tc>
        <w:tc>
          <w:tcPr>
            <w:tcW w:type="dxa" w:w="6803"/>
          </w:tcPr>
          <w:p>
            <w:pPr>
              <w:spacing w:lineRule="exact" w:line="600"/>
              <w:jc w:val="center"/>
            </w:pPr>
            <w:r/>
            <w:r>
              <w:rPr>
                <w:rFonts w:ascii="仿宋_GB2312" w:hAnsi="仿宋_GB2312" w:eastAsia="仿宋_GB2312"/>
                <w:b w:val="0"/>
                <w:color w:val="000000"/>
                <w:sz w:val="32"/>
              </w:rPr>
              <w:t>产业资本+资源方参股，资源整合能力强</w:t>
            </w:r>
          </w:p>
        </w:tc>
      </w:tr>
    </w:tbl>
    <w:p>
      <w:pPr>
        <w:spacing w:lineRule="exact" w:line="600" w:before="120" w:after="120"/>
        <w:ind w:firstLine="420"/>
        <w:jc w:val="left"/>
      </w:pPr>
      <w:r>
        <w:rPr>
          <w:rFonts w:ascii="黑体" w:hAnsi="黑体" w:eastAsia="黑体"/>
          <w:b w:val="0"/>
          <w:color w:val="000000"/>
          <w:sz w:val="32"/>
        </w:rPr>
        <w:t>六、风险分析</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风险描述</w:t>
            </w:r>
          </w:p>
        </w:tc>
        <w:tc>
          <w:tcPr>
            <w:tcW w:type="dxa" w:w="2835"/>
          </w:tcPr>
          <w:p>
            <w:pPr>
              <w:spacing w:lineRule="exact" w:line="600"/>
              <w:jc w:val="center"/>
            </w:pPr>
            <w:r/>
            <w:r>
              <w:rPr>
                <w:rFonts w:ascii="黑体" w:hAnsi="黑体" w:eastAsia="黑体"/>
                <w:b/>
                <w:color w:val="000000"/>
                <w:sz w:val="32"/>
              </w:rPr>
              <w:t>应对建议</w:t>
            </w:r>
          </w:p>
        </w:tc>
      </w:tr>
      <w:tr>
        <w:tc>
          <w:tcPr>
            <w:tcW w:type="dxa" w:w="1701"/>
          </w:tcPr>
          <w:p>
            <w:pPr>
              <w:spacing w:lineRule="exact" w:line="600"/>
              <w:jc w:val="center"/>
            </w:pPr>
            <w:r/>
            <w:r>
              <w:rPr>
                <w:rFonts w:ascii="仿宋_GB2312" w:hAnsi="仿宋_GB2312" w:eastAsia="仿宋_GB2312"/>
                <w:b w:val="0"/>
                <w:color w:val="000000"/>
                <w:sz w:val="32"/>
              </w:rPr>
              <w:t>产品价格周期</w:t>
            </w:r>
          </w:p>
        </w:tc>
        <w:tc>
          <w:tcPr>
            <w:tcW w:type="dxa" w:w="4535"/>
          </w:tcPr>
          <w:p>
            <w:pPr>
              <w:spacing w:lineRule="exact" w:line="600"/>
              <w:jc w:val="center"/>
            </w:pPr>
            <w:r/>
            <w:r>
              <w:rPr>
                <w:rFonts w:ascii="仿宋_GB2312" w:hAnsi="仿宋_GB2312" w:eastAsia="仿宋_GB2312"/>
                <w:b w:val="0"/>
                <w:color w:val="000000"/>
                <w:sz w:val="32"/>
              </w:rPr>
              <w:t>碳酸锂价格大幅波动直接影响盈利</w:t>
            </w:r>
          </w:p>
        </w:tc>
        <w:tc>
          <w:tcPr>
            <w:tcW w:type="dxa" w:w="2835"/>
          </w:tcPr>
          <w:p>
            <w:pPr>
              <w:spacing w:lineRule="exact" w:line="600"/>
              <w:jc w:val="center"/>
            </w:pPr>
            <w:r/>
            <w:r>
              <w:rPr>
                <w:rFonts w:ascii="仿宋_GB2312" w:hAnsi="仿宋_GB2312" w:eastAsia="仿宋_GB2312"/>
                <w:b w:val="0"/>
                <w:color w:val="000000"/>
                <w:sz w:val="32"/>
              </w:rPr>
              <w:t>锁价长协、套保、产品高端化</w:t>
            </w:r>
          </w:p>
        </w:tc>
      </w:tr>
      <w:tr>
        <w:tc>
          <w:tcPr>
            <w:tcW w:type="dxa" w:w="1701"/>
          </w:tcPr>
          <w:p>
            <w:pPr>
              <w:spacing w:lineRule="exact" w:line="600"/>
              <w:jc w:val="center"/>
            </w:pPr>
            <w:r/>
            <w:r>
              <w:rPr>
                <w:rFonts w:ascii="仿宋_GB2312" w:hAnsi="仿宋_GB2312" w:eastAsia="仿宋_GB2312"/>
                <w:b w:val="0"/>
                <w:color w:val="000000"/>
                <w:sz w:val="32"/>
              </w:rPr>
              <w:t>资源保障</w:t>
            </w:r>
          </w:p>
        </w:tc>
        <w:tc>
          <w:tcPr>
            <w:tcW w:type="dxa" w:w="4535"/>
          </w:tcPr>
          <w:p>
            <w:pPr>
              <w:spacing w:lineRule="exact" w:line="600"/>
              <w:jc w:val="center"/>
            </w:pPr>
            <w:r/>
            <w:r>
              <w:rPr>
                <w:rFonts w:ascii="仿宋_GB2312" w:hAnsi="仿宋_GB2312" w:eastAsia="仿宋_GB2312"/>
                <w:b w:val="0"/>
                <w:color w:val="000000"/>
                <w:sz w:val="32"/>
              </w:rPr>
              <w:t>锂资源对外依赖，原料供应与成本受制约</w:t>
            </w:r>
          </w:p>
        </w:tc>
        <w:tc>
          <w:tcPr>
            <w:tcW w:type="dxa" w:w="2835"/>
          </w:tcPr>
          <w:p>
            <w:pPr>
              <w:spacing w:lineRule="exact" w:line="600"/>
              <w:jc w:val="center"/>
            </w:pPr>
            <w:r/>
            <w:r>
              <w:rPr>
                <w:rFonts w:ascii="仿宋_GB2312" w:hAnsi="仿宋_GB2312" w:eastAsia="仿宋_GB2312"/>
                <w:b w:val="0"/>
                <w:color w:val="000000"/>
                <w:sz w:val="32"/>
              </w:rPr>
              <w:t>拓展多元原料渠道</w:t>
            </w:r>
          </w:p>
        </w:tc>
      </w:tr>
      <w:tr>
        <w:tc>
          <w:tcPr>
            <w:tcW w:type="dxa" w:w="1701"/>
          </w:tcPr>
          <w:p>
            <w:pPr>
              <w:spacing w:lineRule="exact" w:line="600"/>
              <w:jc w:val="center"/>
            </w:pPr>
            <w:r/>
            <w:r>
              <w:rPr>
                <w:rFonts w:ascii="仿宋_GB2312" w:hAnsi="仿宋_GB2312" w:eastAsia="仿宋_GB2312"/>
                <w:b w:val="0"/>
                <w:color w:val="000000"/>
                <w:sz w:val="32"/>
              </w:rPr>
              <w:t>环保安全</w:t>
            </w:r>
          </w:p>
        </w:tc>
        <w:tc>
          <w:tcPr>
            <w:tcW w:type="dxa" w:w="4535"/>
          </w:tcPr>
          <w:p>
            <w:pPr>
              <w:spacing w:lineRule="exact" w:line="600"/>
              <w:jc w:val="center"/>
            </w:pPr>
            <w:r/>
            <w:r>
              <w:rPr>
                <w:rFonts w:ascii="仿宋_GB2312" w:hAnsi="仿宋_GB2312" w:eastAsia="仿宋_GB2312"/>
                <w:b w:val="0"/>
                <w:color w:val="000000"/>
                <w:sz w:val="32"/>
              </w:rPr>
              <w:t>提锂产生锂渣及废水，环保监管趋严</w:t>
            </w:r>
          </w:p>
        </w:tc>
        <w:tc>
          <w:tcPr>
            <w:tcW w:type="dxa" w:w="2835"/>
          </w:tcPr>
          <w:p>
            <w:pPr>
              <w:spacing w:lineRule="exact" w:line="600"/>
              <w:jc w:val="center"/>
            </w:pPr>
            <w:r/>
            <w:r>
              <w:rPr>
                <w:rFonts w:ascii="仿宋_GB2312" w:hAnsi="仿宋_GB2312" w:eastAsia="仿宋_GB2312"/>
                <w:b w:val="0"/>
                <w:color w:val="000000"/>
                <w:sz w:val="32"/>
              </w:rPr>
              <w:t>强化资源化利用与合规</w:t>
            </w:r>
          </w:p>
        </w:tc>
      </w:tr>
      <w:tr>
        <w:tc>
          <w:tcPr>
            <w:tcW w:type="dxa" w:w="1701"/>
          </w:tcPr>
          <w:p>
            <w:pPr>
              <w:spacing w:lineRule="exact" w:line="600"/>
              <w:jc w:val="center"/>
            </w:pPr>
            <w:r/>
            <w:r>
              <w:rPr>
                <w:rFonts w:ascii="仿宋_GB2312" w:hAnsi="仿宋_GB2312" w:eastAsia="仿宋_GB2312"/>
                <w:b w:val="0"/>
                <w:color w:val="000000"/>
                <w:sz w:val="32"/>
              </w:rPr>
              <w:t>财务风险</w:t>
            </w:r>
          </w:p>
        </w:tc>
        <w:tc>
          <w:tcPr>
            <w:tcW w:type="dxa" w:w="4535"/>
          </w:tcPr>
          <w:p>
            <w:pPr>
              <w:spacing w:lineRule="exact" w:line="600"/>
              <w:jc w:val="center"/>
            </w:pPr>
            <w:r/>
            <w:r>
              <w:rPr>
                <w:rFonts w:ascii="仿宋_GB2312" w:hAnsi="仿宋_GB2312" w:eastAsia="仿宋_GB2312"/>
                <w:b w:val="0"/>
                <w:color w:val="000000"/>
                <w:sz w:val="32"/>
              </w:rPr>
              <w:t>非上市，财务透明度低，融资结构待核</w:t>
            </w:r>
          </w:p>
        </w:tc>
        <w:tc>
          <w:tcPr>
            <w:tcW w:type="dxa" w:w="2835"/>
          </w:tcPr>
          <w:p>
            <w:pPr>
              <w:spacing w:lineRule="exact" w:line="600"/>
              <w:jc w:val="center"/>
            </w:pPr>
            <w:r/>
            <w:r>
              <w:rPr>
                <w:rFonts w:ascii="仿宋_GB2312" w:hAnsi="仿宋_GB2312" w:eastAsia="仿宋_GB2312"/>
                <w:b w:val="0"/>
                <w:color w:val="000000"/>
                <w:sz w:val="32"/>
              </w:rPr>
              <w:t>尽调获取真实负债与现金流</w:t>
            </w:r>
          </w:p>
        </w:tc>
      </w:tr>
      <w:tr>
        <w:tc>
          <w:tcPr>
            <w:tcW w:type="dxa" w:w="1701"/>
          </w:tcPr>
          <w:p>
            <w:pPr>
              <w:spacing w:lineRule="exact" w:line="600"/>
              <w:jc w:val="center"/>
            </w:pPr>
            <w:r/>
            <w:r>
              <w:rPr>
                <w:rFonts w:ascii="仿宋_GB2312" w:hAnsi="仿宋_GB2312" w:eastAsia="仿宋_GB2312"/>
                <w:b w:val="0"/>
                <w:color w:val="000000"/>
                <w:sz w:val="32"/>
              </w:rPr>
              <w:t>市场竞争</w:t>
            </w:r>
          </w:p>
        </w:tc>
        <w:tc>
          <w:tcPr>
            <w:tcW w:type="dxa" w:w="4535"/>
          </w:tcPr>
          <w:p>
            <w:pPr>
              <w:spacing w:lineRule="exact" w:line="600"/>
              <w:jc w:val="center"/>
            </w:pPr>
            <w:r/>
            <w:r>
              <w:rPr>
                <w:rFonts w:ascii="仿宋_GB2312" w:hAnsi="仿宋_GB2312" w:eastAsia="仿宋_GB2312"/>
                <w:b w:val="0"/>
                <w:color w:val="000000"/>
                <w:sz w:val="32"/>
              </w:rPr>
              <w:t>龙头扩产与产能过剩压力</w:t>
            </w:r>
          </w:p>
        </w:tc>
        <w:tc>
          <w:tcPr>
            <w:tcW w:type="dxa" w:w="2835"/>
          </w:tcPr>
          <w:p>
            <w:pPr>
              <w:spacing w:lineRule="exact" w:line="600"/>
              <w:jc w:val="center"/>
            </w:pPr>
            <w:r/>
            <w:r>
              <w:rPr>
                <w:rFonts w:ascii="仿宋_GB2312" w:hAnsi="仿宋_GB2312" w:eastAsia="仿宋_GB2312"/>
                <w:b w:val="0"/>
                <w:color w:val="000000"/>
                <w:sz w:val="32"/>
              </w:rPr>
              <w:t>差异化与成本领先</w:t>
            </w:r>
          </w:p>
        </w:tc>
      </w:tr>
    </w:tbl>
    <w:p>
      <w:pPr>
        <w:spacing w:lineRule="exact" w:line="600" w:before="120" w:after="120"/>
        <w:ind w:firstLine="420"/>
        <w:jc w:val="left"/>
      </w:pPr>
      <w:r>
        <w:rPr>
          <w:rFonts w:ascii="黑体" w:hAnsi="黑体" w:eastAsia="黑体"/>
          <w:b w:val="0"/>
          <w:color w:val="000000"/>
          <w:sz w:val="32"/>
        </w:rPr>
        <w:t>七、融资需求分析</w:t>
      </w:r>
    </w:p>
    <w:p>
      <w:pPr>
        <w:spacing w:lineRule="exact" w:line="600" w:before="0" w:after="0"/>
        <w:ind w:firstLine="420"/>
        <w:jc w:val="both"/>
      </w:pPr>
      <w:r>
        <w:rPr>
          <w:rFonts w:ascii="仿宋_GB2312" w:hAnsi="仿宋_GB2312" w:eastAsia="仿宋_GB2312"/>
          <w:b w:val="0"/>
          <w:color w:val="000000"/>
          <w:sz w:val="32"/>
        </w:rPr>
        <w:t>结合公司所处锂电新材料行业重资产、长周期特征，围绕四类地方金融工具的潜在适配性分析如下：</w:t>
      </w:r>
    </w:p>
    <w:p>
      <w:pPr>
        <w:spacing w:lineRule="exact" w:line="600" w:before="120" w:after="120"/>
        <w:ind w:firstLine="420"/>
        <w:jc w:val="left"/>
      </w:pPr>
      <w:r>
        <w:rPr>
          <w:rFonts w:ascii="楷体_GB2312" w:hAnsi="楷体_GB2312" w:eastAsia="楷体_GB2312"/>
          <w:b w:val="0"/>
          <w:color w:val="000000"/>
          <w:sz w:val="32"/>
        </w:rPr>
        <w:t>（一）商业保理</w:t>
      </w:r>
    </w:p>
    <w:p>
      <w:pPr>
        <w:spacing w:lineRule="exact" w:line="600" w:before="0" w:after="0"/>
        <w:ind w:firstLine="420"/>
        <w:jc w:val="both"/>
      </w:pPr>
      <w:r>
        <w:rPr>
          <w:rFonts w:ascii="仿宋_GB2312" w:hAnsi="仿宋_GB2312" w:eastAsia="仿宋_GB2312"/>
          <w:b w:val="0"/>
          <w:color w:val="000000"/>
          <w:sz w:val="32"/>
        </w:rPr>
        <w:t>公司对下游正极材料/电池企业销售形成应收账款，可探索应收账款保理以加快资金周转，缓解锂盐价格下行期的现金流压力。</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肥城锂电集群已具链条规模，可依托核心企业信用开展上游原料采购的供应链融资，稳定锂资源供应并优化付款节奏。</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提锂窑炉、环保及检测设备投资大，适合以设备融资租赁盘活存量资产、降低初始资本开支。</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小贷更适合临时性周转，建议作为补充而非主力渠道；优先考虑银行授信与产业基金入股。</w:t>
      </w:r>
    </w:p>
    <w:p>
      <w:pPr>
        <w:spacing w:lineRule="exact" w:line="600" w:before="120" w:after="120"/>
        <w:ind w:firstLine="420"/>
        <w:jc w:val="left"/>
      </w:pPr>
      <w:r>
        <w:rPr>
          <w:rFonts w:ascii="黑体" w:hAnsi="黑体" w:eastAsia="黑体"/>
          <w:b w:val="0"/>
          <w:color w:val="000000"/>
          <w:sz w:val="32"/>
        </w:rPr>
        <w:t>八、综合评价、展望与建议</w:t>
      </w:r>
    </w:p>
    <w:p>
      <w:pPr>
        <w:spacing w:lineRule="exact" w:line="600" w:before="0" w:after="0"/>
        <w:ind w:firstLine="420"/>
        <w:jc w:val="both"/>
      </w:pPr>
      <w:r>
        <w:rPr>
          <w:rFonts w:ascii="仿宋_GB2312" w:hAnsi="仿宋_GB2312" w:eastAsia="仿宋_GB2312"/>
          <w:b w:val="0"/>
          <w:color w:val="000000"/>
          <w:sz w:val="32"/>
        </w:rPr>
        <w:t>山东瑞福锂业有限公司是肥城锂电新材料产业集群的核心锂盐供应商，具备较突出的产能规模、专精特新与绿色制造资质，在区域产业链中地位重要。主要短板在于非上市带来的财务透明度不足及强周期盈利波动。</w:t>
      </w:r>
    </w:p>
    <w:p>
      <w:pPr>
        <w:spacing w:lineRule="exact" w:line="600" w:before="0" w:after="0"/>
        <w:ind w:firstLine="420"/>
        <w:jc w:val="both"/>
      </w:pPr>
      <w:r>
        <w:rPr>
          <w:rFonts w:ascii="仿宋_GB2312" w:hAnsi="仿宋_GB2312" w:eastAsia="仿宋_GB2312"/>
          <w:b w:val="0"/>
          <w:color w:val="000000"/>
          <w:sz w:val="32"/>
        </w:rPr>
        <w:t>展望：随着储能与动力电池需求中长期增长，以及肥城"泰山锂谷"集群效应强化，公司有望通过产品高端化与资源整合稳步提升竞争力。建议投资方在尽调中重点核实真实产能利用率、负债结构、原料保障与环保合规，并优先以"股权+产业金融"组合介入，规避周期底部估值与现金流风险。</w:t>
      </w:r>
    </w:p>
    <w:p>
      <w:pPr>
        <w:spacing w:lineRule="exact" w:line="600" w:before="0" w:after="0"/>
        <w:jc w:val="left"/>
      </w:pPr>
      <w:r>
        <w:rPr>
          <w:rFonts w:ascii="仿宋_GB2312" w:hAnsi="仿宋_GB2312" w:eastAsia="仿宋_GB2312"/>
          <w:b w:val="0"/>
          <w:color w:val="000000"/>
          <w:sz w:val="28"/>
        </w:rPr>
        <w:t>数据来源说明：本报告数据来源于国家企业信用信息公示系统/公开工商信息、工信部专精特新"小巨人"名单、肥城市及泰安市公开报道、企业公开资料及行业权威媒体。财务数据因公司未上市未公开披露，已如实标注。相关信息截至检索日，后续以企业正式披露及尽职调查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