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山东泰安肥城市(锂电新材料)特色产业集</w:t>
      </w:r>
    </w:p>
    <w:p>
      <w:pPr>
        <w:spacing w:lineRule="exact" w:line="600" w:before="240" w:after="240"/>
        <w:ind w:firstLine="0"/>
        <w:jc w:val="center"/>
      </w:pPr>
      <w:r>
        <w:rPr>
          <w:rFonts w:ascii="方正小标宋简体" w:hAnsi="方正小标宋简体" w:eastAsia="方正小标宋简体"/>
          <w:b w:val="0"/>
          <w:color w:val="000000"/>
          <w:sz w:val="44"/>
        </w:rPr>
        <w:t>山东蔚蓝科技有限公司企业分析报告</w:t>
      </w:r>
    </w:p>
    <w:p>
      <w:pPr>
        <w:spacing w:lineRule="exact" w:line="600" w:before="0" w:after="0"/>
        <w:jc w:val="left"/>
      </w:pPr>
      <w:r>
        <w:rPr>
          <w:rFonts w:ascii="仿宋_GB2312" w:hAnsi="仿宋_GB2312" w:eastAsia="仿宋_GB2312"/>
          <w:b w:val="0"/>
          <w:color w:val="000000"/>
          <w:sz w:val="28"/>
        </w:rPr>
        <w:t>（重要说明：本报告依据批次任务给定的企业清单编写。经公开渠道检索，未能明确匹配到注册于肥城市的"山东蔚蓝科技有限公司"之权威工商信息；检索结果多指向山东蔚蓝新能源科技有限公司（济宁兖州）、山东蔚蓝生物科技有限公司（青岛，蔚蓝生物集团全资子公司）等主体。依据数据真实性纪律，本报告对肥城"蔚蓝科技"的工商与财务信息均标注"待核"，不编造数据，建议以尽职调查核实为准。数据来源见文末。）</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根据批次任务清单，山东蔚蓝科技有限公司为肥城市锂电新材料特色产业集群代表企业之一，批次标注其主业方向为"钠离子电池等新型锂电/储能材料"，信息来源为"肥城市企业信息，待核"。经公开检索，暂未获取该企业在国家企业信用信息公示系统中的权威工商登记资料，以下信息均标注待核。</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内容（待核）</w:t>
            </w:r>
          </w:p>
        </w:tc>
      </w:tr>
      <w:tr>
        <w:tc>
          <w:tcPr>
            <w:tcW w:type="dxa" w:w="2268"/>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山东蔚蓝科技有限公司（肥城）</w:t>
            </w:r>
          </w:p>
        </w:tc>
      </w:tr>
      <w:tr>
        <w:tc>
          <w:tcPr>
            <w:tcW w:type="dxa" w:w="2268"/>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待核</w:t>
            </w:r>
          </w:p>
        </w:tc>
      </w:tr>
      <w:tr>
        <w:tc>
          <w:tcPr>
            <w:tcW w:type="dxa" w:w="2268"/>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待核</w:t>
            </w:r>
          </w:p>
        </w:tc>
      </w:tr>
      <w:tr>
        <w:tc>
          <w:tcPr>
            <w:tcW w:type="dxa" w:w="2268"/>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待核</w:t>
            </w:r>
          </w:p>
        </w:tc>
      </w:tr>
      <w:tr>
        <w:tc>
          <w:tcPr>
            <w:tcW w:type="dxa" w:w="2268"/>
          </w:tcPr>
          <w:p>
            <w:pPr>
              <w:spacing w:lineRule="exact" w:line="600"/>
              <w:jc w:val="center"/>
            </w:pPr>
            <w:r/>
            <w:r>
              <w:rPr>
                <w:rFonts w:ascii="仿宋_GB2312" w:hAnsi="仿宋_GB2312" w:eastAsia="仿宋_GB2312"/>
                <w:b w:val="0"/>
                <w:color w:val="000000"/>
                <w:sz w:val="32"/>
              </w:rPr>
              <w:t>注册地</w:t>
            </w:r>
          </w:p>
        </w:tc>
        <w:tc>
          <w:tcPr>
            <w:tcW w:type="dxa" w:w="6803"/>
          </w:tcPr>
          <w:p>
            <w:pPr>
              <w:spacing w:lineRule="exact" w:line="600"/>
              <w:jc w:val="center"/>
            </w:pPr>
            <w:r/>
            <w:r>
              <w:rPr>
                <w:rFonts w:ascii="仿宋_GB2312" w:hAnsi="仿宋_GB2312" w:eastAsia="仿宋_GB2312"/>
                <w:b w:val="0"/>
                <w:color w:val="000000"/>
                <w:sz w:val="32"/>
              </w:rPr>
              <w:t>山东省泰安市肥城市（待核具体地址）</w:t>
            </w:r>
          </w:p>
        </w:tc>
      </w:tr>
      <w:tr>
        <w:tc>
          <w:tcPr>
            <w:tcW w:type="dxa" w:w="2268"/>
          </w:tcPr>
          <w:p>
            <w:pPr>
              <w:spacing w:lineRule="exact" w:line="600"/>
              <w:jc w:val="center"/>
            </w:pPr>
            <w:r/>
            <w:r>
              <w:rPr>
                <w:rFonts w:ascii="仿宋_GB2312" w:hAnsi="仿宋_GB2312" w:eastAsia="仿宋_GB2312"/>
                <w:b w:val="0"/>
                <w:color w:val="000000"/>
                <w:sz w:val="32"/>
              </w:rPr>
              <w:t>行业分类</w:t>
            </w:r>
          </w:p>
        </w:tc>
        <w:tc>
          <w:tcPr>
            <w:tcW w:type="dxa" w:w="6803"/>
          </w:tcPr>
          <w:p>
            <w:pPr>
              <w:spacing w:lineRule="exact" w:line="600"/>
              <w:jc w:val="center"/>
            </w:pPr>
            <w:r/>
            <w:r>
              <w:rPr>
                <w:rFonts w:ascii="仿宋_GB2312" w:hAnsi="仿宋_GB2312" w:eastAsia="仿宋_GB2312"/>
                <w:b w:val="0"/>
                <w:color w:val="000000"/>
                <w:sz w:val="32"/>
              </w:rPr>
              <w:t>新型锂电/钠离子电池/储能材料（待核）</w:t>
            </w:r>
          </w:p>
        </w:tc>
      </w:tr>
      <w:tr>
        <w:tc>
          <w:tcPr>
            <w:tcW w:type="dxa" w:w="2268"/>
          </w:tcPr>
          <w:p>
            <w:pPr>
              <w:spacing w:lineRule="exact" w:line="600"/>
              <w:jc w:val="center"/>
            </w:pPr>
            <w:r/>
            <w:r>
              <w:rPr>
                <w:rFonts w:ascii="仿宋_GB2312" w:hAnsi="仿宋_GB2312" w:eastAsia="仿宋_GB2312"/>
                <w:b w:val="0"/>
                <w:color w:val="000000"/>
                <w:sz w:val="32"/>
              </w:rPr>
              <w:t>企业性质</w:t>
            </w:r>
          </w:p>
        </w:tc>
        <w:tc>
          <w:tcPr>
            <w:tcW w:type="dxa" w:w="6803"/>
          </w:tcPr>
          <w:p>
            <w:pPr>
              <w:spacing w:lineRule="exact" w:line="600"/>
              <w:jc w:val="center"/>
            </w:pPr>
            <w:r/>
            <w:r>
              <w:rPr>
                <w:rFonts w:ascii="仿宋_GB2312" w:hAnsi="仿宋_GB2312" w:eastAsia="仿宋_GB2312"/>
                <w:b w:val="0"/>
                <w:color w:val="000000"/>
                <w:sz w:val="32"/>
              </w:rPr>
              <w:t>待核</w:t>
            </w:r>
          </w:p>
        </w:tc>
      </w:tr>
    </w:tbl>
    <w:p>
      <w:pPr>
        <w:spacing w:lineRule="exact" w:line="600" w:before="120" w:after="120"/>
        <w:ind w:firstLine="420"/>
        <w:jc w:val="left"/>
      </w:pPr>
      <w:r>
        <w:rPr>
          <w:rFonts w:ascii="楷体_GB2312" w:hAnsi="楷体_GB2312" w:eastAsia="楷体_GB2312"/>
          <w:b w:val="0"/>
          <w:color w:val="000000"/>
          <w:sz w:val="32"/>
        </w:rPr>
        <w:t>（二）股权与组织</w:t>
      </w:r>
    </w:p>
    <w:p>
      <w:pPr>
        <w:spacing w:lineRule="exact" w:line="600" w:before="0" w:after="0"/>
        <w:ind w:firstLine="420"/>
        <w:jc w:val="both"/>
      </w:pPr>
      <w:r>
        <w:rPr>
          <w:rFonts w:ascii="仿宋_GB2312" w:hAnsi="仿宋_GB2312" w:eastAsia="仿宋_GB2312"/>
          <w:b w:val="0"/>
          <w:color w:val="000000"/>
          <w:sz w:val="32"/>
        </w:rPr>
        <w:t>股权结构、实际控制人及组织架构均待核，建议通过工商登记及尽职调查获取。需特别区分其与"山东蔚蓝新能源科技有限公司""山东蔚蓝生物科技有限公司"是否为关联或同名不同主体。</w:t>
      </w:r>
    </w:p>
    <w:p>
      <w:pPr>
        <w:spacing w:lineRule="exact" w:line="600" w:before="120" w:after="120"/>
        <w:ind w:firstLine="420"/>
        <w:jc w:val="left"/>
      </w:pPr>
      <w:r>
        <w:rPr>
          <w:rFonts w:ascii="楷体_GB2312" w:hAnsi="楷体_GB2312" w:eastAsia="楷体_GB2312"/>
          <w:b w:val="0"/>
          <w:color w:val="000000"/>
          <w:sz w:val="32"/>
        </w:rPr>
        <w:t>（三）业务定位</w:t>
      </w:r>
    </w:p>
    <w:p>
      <w:pPr>
        <w:spacing w:lineRule="exact" w:line="600" w:before="0" w:after="0"/>
        <w:ind w:firstLine="420"/>
        <w:jc w:val="both"/>
      </w:pPr>
      <w:r>
        <w:rPr>
          <w:rFonts w:ascii="仿宋_GB2312" w:hAnsi="仿宋_GB2312" w:eastAsia="仿宋_GB2312"/>
          <w:b w:val="0"/>
          <w:color w:val="000000"/>
          <w:sz w:val="32"/>
        </w:rPr>
        <w:t>按批次描述，企业定位为钠离子电池等新型锂电/储能材料方向，契合肥城"泰山锂谷"向多元化储能材料拓展的战略。钠离子电池具备资源充裕、成本较低、低温性能优等特点，是锂电之外的重要储能技术路线。</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w:t>
      </w:r>
    </w:p>
    <w:p>
      <w:pPr>
        <w:spacing w:lineRule="exact" w:line="600" w:before="0" w:after="0"/>
        <w:ind w:firstLine="420"/>
        <w:jc w:val="both"/>
      </w:pPr>
      <w:r>
        <w:rPr>
          <w:rFonts w:ascii="仿宋_GB2312" w:hAnsi="仿宋_GB2312" w:eastAsia="仿宋_GB2312"/>
          <w:b w:val="0"/>
          <w:color w:val="000000"/>
          <w:sz w:val="32"/>
        </w:rPr>
        <w:t>待核。若确为钠离子电池/储能材料企业，其业务应覆盖正极（如层状氧化物、聚阴离子）、负极（硬碳）及电芯/系统集成等环节中的若干环节。当前公开可查证信息不足，不做推断。</w:t>
      </w:r>
    </w:p>
    <w:p>
      <w:pPr>
        <w:spacing w:lineRule="exact" w:line="600" w:before="120" w:after="120"/>
        <w:ind w:firstLine="420"/>
        <w:jc w:val="left"/>
      </w:pPr>
      <w:r>
        <w:rPr>
          <w:rFonts w:ascii="楷体_GB2312" w:hAnsi="楷体_GB2312" w:eastAsia="楷体_GB2312"/>
          <w:b w:val="0"/>
          <w:color w:val="000000"/>
          <w:sz w:val="32"/>
        </w:rPr>
        <w:t>（二）市场与客户</w:t>
      </w:r>
    </w:p>
    <w:p>
      <w:pPr>
        <w:spacing w:lineRule="exact" w:line="600" w:before="0" w:after="0"/>
        <w:ind w:firstLine="420"/>
        <w:jc w:val="both"/>
      </w:pPr>
      <w:r>
        <w:rPr>
          <w:rFonts w:ascii="仿宋_GB2312" w:hAnsi="仿宋_GB2312" w:eastAsia="仿宋_GB2312"/>
          <w:b w:val="0"/>
          <w:color w:val="000000"/>
          <w:sz w:val="32"/>
        </w:rPr>
        <w:t>待核。储能与低速动力为钠离子主要应用场景，建议核查其已落地订单与产能。</w:t>
      </w:r>
    </w:p>
    <w:p>
      <w:pPr>
        <w:spacing w:lineRule="exact" w:line="600" w:before="120" w:after="120"/>
        <w:ind w:firstLine="420"/>
        <w:jc w:val="left"/>
      </w:pPr>
      <w:r>
        <w:rPr>
          <w:rFonts w:ascii="楷体_GB2312" w:hAnsi="楷体_GB2312" w:eastAsia="楷体_GB2312"/>
          <w:b w:val="0"/>
          <w:color w:val="000000"/>
          <w:sz w:val="32"/>
        </w:rPr>
        <w:t>（三）技术布局</w:t>
      </w:r>
    </w:p>
    <w:p>
      <w:pPr>
        <w:spacing w:lineRule="exact" w:line="600" w:before="0" w:after="0"/>
        <w:ind w:firstLine="420"/>
        <w:jc w:val="both"/>
      </w:pPr>
      <w:r>
        <w:rPr>
          <w:rFonts w:ascii="仿宋_GB2312" w:hAnsi="仿宋_GB2312" w:eastAsia="仿宋_GB2312"/>
          <w:b w:val="0"/>
          <w:color w:val="000000"/>
          <w:sz w:val="32"/>
        </w:rPr>
        <w:t>待核。钠离子电池技术路线仍处产业化早期，需重点核实其专利、中试/量产进度与核心团队。</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（一）财务数据说明</w:t>
      </w:r>
    </w:p>
    <w:p>
      <w:pPr>
        <w:spacing w:lineRule="exact" w:line="600" w:before="0" w:after="0"/>
        <w:ind w:firstLine="420"/>
        <w:jc w:val="both"/>
      </w:pPr>
      <w:r>
        <w:rPr>
          <w:rFonts w:ascii="仿宋_GB2312" w:hAnsi="仿宋_GB2312" w:eastAsia="仿宋_GB2312"/>
          <w:b w:val="0"/>
          <w:color w:val="000000"/>
          <w:sz w:val="32"/>
        </w:rPr>
        <w:t>因企业工商信息待核且为非上市主体，营业收入、净利润、资产负债率、经营现金流等财务指标一律标注"未公开/待核"，严禁编造。</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指标</w:t>
            </w:r>
          </w:p>
        </w:tc>
        <w:tc>
          <w:tcPr>
            <w:tcW w:type="dxa" w:w="6803"/>
          </w:tcPr>
          <w:p>
            <w:pPr>
              <w:spacing w:lineRule="exact" w:line="600"/>
              <w:jc w:val="center"/>
            </w:pPr>
            <w:r/>
            <w:r>
              <w:rPr>
                <w:rFonts w:ascii="黑体" w:hAnsi="黑体" w:eastAsia="黑体"/>
                <w:b/>
                <w:color w:val="000000"/>
                <w:sz w:val="32"/>
              </w:rPr>
              <w:t>情况</w:t>
            </w:r>
          </w:p>
        </w:tc>
      </w:tr>
      <w:tr>
        <w:tc>
          <w:tcPr>
            <w:tcW w:type="dxa" w:w="2268"/>
          </w:tcPr>
          <w:p>
            <w:pPr>
              <w:spacing w:lineRule="exact" w:line="600"/>
              <w:jc w:val="center"/>
            </w:pPr>
            <w:r/>
            <w:r>
              <w:rPr>
                <w:rFonts w:ascii="仿宋_GB2312" w:hAnsi="仿宋_GB2312" w:eastAsia="仿宋_GB2312"/>
                <w:b w:val="0"/>
                <w:color w:val="000000"/>
                <w:sz w:val="32"/>
              </w:rPr>
              <w:t>营业收入</w:t>
            </w:r>
          </w:p>
        </w:tc>
        <w:tc>
          <w:tcPr>
            <w:tcW w:type="dxa" w:w="6803"/>
          </w:tcPr>
          <w:p>
            <w:pPr>
              <w:spacing w:lineRule="exact" w:line="600"/>
              <w:jc w:val="center"/>
            </w:pPr>
            <w:r/>
            <w:r>
              <w:rPr>
                <w:rFonts w:ascii="仿宋_GB2312" w:hAnsi="仿宋_GB2312" w:eastAsia="仿宋_GB2312"/>
                <w:b w:val="0"/>
                <w:color w:val="000000"/>
                <w:sz w:val="32"/>
              </w:rPr>
              <w:t>未公开/待核</w:t>
            </w:r>
          </w:p>
        </w:tc>
      </w:tr>
      <w:tr>
        <w:tc>
          <w:tcPr>
            <w:tcW w:type="dxa" w:w="2268"/>
          </w:tcPr>
          <w:p>
            <w:pPr>
              <w:spacing w:lineRule="exact" w:line="600"/>
              <w:jc w:val="center"/>
            </w:pPr>
            <w:r/>
            <w:r>
              <w:rPr>
                <w:rFonts w:ascii="仿宋_GB2312" w:hAnsi="仿宋_GB2312" w:eastAsia="仿宋_GB2312"/>
                <w:b w:val="0"/>
                <w:color w:val="000000"/>
                <w:sz w:val="32"/>
              </w:rPr>
              <w:t>净利润</w:t>
            </w:r>
          </w:p>
        </w:tc>
        <w:tc>
          <w:tcPr>
            <w:tcW w:type="dxa" w:w="6803"/>
          </w:tcPr>
          <w:p>
            <w:pPr>
              <w:spacing w:lineRule="exact" w:line="600"/>
              <w:jc w:val="center"/>
            </w:pPr>
            <w:r/>
            <w:r>
              <w:rPr>
                <w:rFonts w:ascii="仿宋_GB2312" w:hAnsi="仿宋_GB2312" w:eastAsia="仿宋_GB2312"/>
                <w:b w:val="0"/>
                <w:color w:val="000000"/>
                <w:sz w:val="32"/>
              </w:rPr>
              <w:t>未公开/待核</w:t>
            </w:r>
          </w:p>
        </w:tc>
      </w:tr>
      <w:tr>
        <w:tc>
          <w:tcPr>
            <w:tcW w:type="dxa" w:w="2268"/>
          </w:tcPr>
          <w:p>
            <w:pPr>
              <w:spacing w:lineRule="exact" w:line="600"/>
              <w:jc w:val="center"/>
            </w:pPr>
            <w:r/>
            <w:r>
              <w:rPr>
                <w:rFonts w:ascii="仿宋_GB2312" w:hAnsi="仿宋_GB2312" w:eastAsia="仿宋_GB2312"/>
                <w:b w:val="0"/>
                <w:color w:val="000000"/>
                <w:sz w:val="32"/>
              </w:rPr>
              <w:t>资产负债率</w:t>
            </w:r>
          </w:p>
        </w:tc>
        <w:tc>
          <w:tcPr>
            <w:tcW w:type="dxa" w:w="6803"/>
          </w:tcPr>
          <w:p>
            <w:pPr>
              <w:spacing w:lineRule="exact" w:line="600"/>
              <w:jc w:val="center"/>
            </w:pPr>
            <w:r/>
            <w:r>
              <w:rPr>
                <w:rFonts w:ascii="仿宋_GB2312" w:hAnsi="仿宋_GB2312" w:eastAsia="仿宋_GB2312"/>
                <w:b w:val="0"/>
                <w:color w:val="000000"/>
                <w:sz w:val="32"/>
              </w:rPr>
              <w:t>未公开/待核</w:t>
            </w:r>
          </w:p>
        </w:tc>
      </w:tr>
      <w:tr>
        <w:tc>
          <w:tcPr>
            <w:tcW w:type="dxa" w:w="2268"/>
          </w:tcPr>
          <w:p>
            <w:pPr>
              <w:spacing w:lineRule="exact" w:line="600"/>
              <w:jc w:val="center"/>
            </w:pPr>
            <w:r/>
            <w:r>
              <w:rPr>
                <w:rFonts w:ascii="仿宋_GB2312" w:hAnsi="仿宋_GB2312" w:eastAsia="仿宋_GB2312"/>
                <w:b w:val="0"/>
                <w:color w:val="000000"/>
                <w:sz w:val="32"/>
              </w:rPr>
              <w:t>经营现金流</w:t>
            </w:r>
          </w:p>
        </w:tc>
        <w:tc>
          <w:tcPr>
            <w:tcW w:type="dxa" w:w="6803"/>
          </w:tcPr>
          <w:p>
            <w:pPr>
              <w:spacing w:lineRule="exact" w:line="600"/>
              <w:jc w:val="center"/>
            </w:pPr>
            <w:r/>
            <w:r>
              <w:rPr>
                <w:rFonts w:ascii="仿宋_GB2312" w:hAnsi="仿宋_GB2312" w:eastAsia="仿宋_GB2312"/>
                <w:b w:val="0"/>
                <w:color w:val="000000"/>
                <w:sz w:val="32"/>
              </w:rPr>
              <w:t>未公开/待核</w:t>
            </w:r>
          </w:p>
        </w:tc>
      </w:tr>
    </w:tbl>
    <w:p>
      <w:pPr>
        <w:spacing w:lineRule="exact" w:line="600" w:before="120" w:after="120"/>
        <w:ind w:firstLine="420"/>
        <w:jc w:val="left"/>
      </w:pPr>
      <w:r>
        <w:rPr>
          <w:rFonts w:ascii="黑体" w:hAnsi="黑体" w:eastAsia="黑体"/>
          <w:b w:val="0"/>
          <w:color w:val="000000"/>
          <w:sz w:val="32"/>
        </w:rPr>
        <w:t>四、公司治理、管理与人力的分析</w:t>
      </w:r>
    </w:p>
    <w:p>
      <w:pPr>
        <w:spacing w:lineRule="exact" w:line="600" w:before="0" w:after="0"/>
        <w:ind w:firstLine="420"/>
        <w:jc w:val="both"/>
      </w:pPr>
      <w:r>
        <w:rPr>
          <w:rFonts w:ascii="仿宋_GB2312" w:hAnsi="仿宋_GB2312" w:eastAsia="仿宋_GB2312"/>
          <w:b w:val="0"/>
          <w:color w:val="000000"/>
          <w:sz w:val="32"/>
        </w:rPr>
        <w:t>治理结构与核心团队均待核。钠离子电池属技术密集行业，团队背景与技术来源是投资判断关键，建议尽调核实。</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0" w:after="0"/>
        <w:ind w:firstLine="420"/>
        <w:jc w:val="both"/>
      </w:pPr>
      <w:r>
        <w:rPr>
          <w:rFonts w:ascii="仿宋_GB2312" w:hAnsi="仿宋_GB2312" w:eastAsia="仿宋_GB2312"/>
          <w:b w:val="0"/>
          <w:color w:val="000000"/>
          <w:sz w:val="32"/>
        </w:rPr>
        <w:t>在工商与业务信息待核情况下，暂不形成确定性竞争力结论。潜在看点在于肥城锂电集群的资源协同与钠电赛道前景；确定性需待尽调。</w:t>
      </w:r>
    </w:p>
    <w:p>
      <w:pPr>
        <w:spacing w:lineRule="exact" w:line="600" w:before="120" w:after="120"/>
        <w:ind w:firstLine="420"/>
        <w:jc w:val="left"/>
      </w:pPr>
      <w:r>
        <w:rPr>
          <w:rFonts w:ascii="黑体" w:hAnsi="黑体" w:eastAsia="黑体"/>
          <w:b w:val="0"/>
          <w:color w:val="000000"/>
          <w:sz w:val="32"/>
        </w:rPr>
        <w:t>六、风险分析</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风险类别</w:t>
            </w:r>
          </w:p>
        </w:tc>
        <w:tc>
          <w:tcPr>
            <w:tcW w:type="dxa" w:w="6803"/>
          </w:tcPr>
          <w:p>
            <w:pPr>
              <w:spacing w:lineRule="exact" w:line="600"/>
              <w:jc w:val="center"/>
            </w:pPr>
            <w:r/>
            <w:r>
              <w:rPr>
                <w:rFonts w:ascii="黑体" w:hAnsi="黑体" w:eastAsia="黑体"/>
                <w:b/>
                <w:color w:val="000000"/>
                <w:sz w:val="32"/>
              </w:rPr>
              <w:t>风险描述</w:t>
            </w:r>
          </w:p>
        </w:tc>
      </w:tr>
      <w:tr>
        <w:tc>
          <w:tcPr>
            <w:tcW w:type="dxa" w:w="2268"/>
          </w:tcPr>
          <w:p>
            <w:pPr>
              <w:spacing w:lineRule="exact" w:line="600"/>
              <w:jc w:val="center"/>
            </w:pPr>
            <w:r/>
            <w:r>
              <w:rPr>
                <w:rFonts w:ascii="仿宋_GB2312" w:hAnsi="仿宋_GB2312" w:eastAsia="仿宋_GB2312"/>
                <w:b w:val="0"/>
                <w:color w:val="000000"/>
                <w:sz w:val="32"/>
              </w:rPr>
              <w:t>信息不实风险</w:t>
            </w:r>
          </w:p>
        </w:tc>
        <w:tc>
          <w:tcPr>
            <w:tcW w:type="dxa" w:w="6803"/>
          </w:tcPr>
          <w:p>
            <w:pPr>
              <w:spacing w:lineRule="exact" w:line="600"/>
              <w:jc w:val="center"/>
            </w:pPr>
            <w:r/>
            <w:r>
              <w:rPr>
                <w:rFonts w:ascii="仿宋_GB2312" w:hAnsi="仿宋_GB2312" w:eastAsia="仿宋_GB2312"/>
                <w:b w:val="0"/>
                <w:color w:val="000000"/>
                <w:sz w:val="32"/>
              </w:rPr>
              <w:t>企业主体与工商信息待核，存在同名混淆可能</w:t>
            </w:r>
          </w:p>
        </w:tc>
      </w:tr>
      <w:tr>
        <w:tc>
          <w:tcPr>
            <w:tcW w:type="dxa" w:w="2268"/>
          </w:tcPr>
          <w:p>
            <w:pPr>
              <w:spacing w:lineRule="exact" w:line="600"/>
              <w:jc w:val="center"/>
            </w:pPr>
            <w:r/>
            <w:r>
              <w:rPr>
                <w:rFonts w:ascii="仿宋_GB2312" w:hAnsi="仿宋_GB2312" w:eastAsia="仿宋_GB2312"/>
                <w:b w:val="0"/>
                <w:color w:val="000000"/>
                <w:sz w:val="32"/>
              </w:rPr>
              <w:t>技术产业化</w:t>
            </w:r>
          </w:p>
        </w:tc>
        <w:tc>
          <w:tcPr>
            <w:tcW w:type="dxa" w:w="6803"/>
          </w:tcPr>
          <w:p>
            <w:pPr>
              <w:spacing w:lineRule="exact" w:line="600"/>
              <w:jc w:val="center"/>
            </w:pPr>
            <w:r/>
            <w:r>
              <w:rPr>
                <w:rFonts w:ascii="仿宋_GB2312" w:hAnsi="仿宋_GB2312" w:eastAsia="仿宋_GB2312"/>
                <w:b w:val="0"/>
                <w:color w:val="000000"/>
                <w:sz w:val="32"/>
              </w:rPr>
              <w:t>钠电仍处早期，量产与降本存不确定性</w:t>
            </w:r>
          </w:p>
        </w:tc>
      </w:tr>
      <w:tr>
        <w:tc>
          <w:tcPr>
            <w:tcW w:type="dxa" w:w="2268"/>
          </w:tcPr>
          <w:p>
            <w:pPr>
              <w:spacing w:lineRule="exact" w:line="600"/>
              <w:jc w:val="center"/>
            </w:pPr>
            <w:r/>
            <w:r>
              <w:rPr>
                <w:rFonts w:ascii="仿宋_GB2312" w:hAnsi="仿宋_GB2312" w:eastAsia="仿宋_GB2312"/>
                <w:b w:val="0"/>
                <w:color w:val="000000"/>
                <w:sz w:val="32"/>
              </w:rPr>
              <w:t>财务不透明</w:t>
            </w:r>
          </w:p>
        </w:tc>
        <w:tc>
          <w:tcPr>
            <w:tcW w:type="dxa" w:w="6803"/>
          </w:tcPr>
          <w:p>
            <w:pPr>
              <w:spacing w:lineRule="exact" w:line="600"/>
              <w:jc w:val="center"/>
            </w:pPr>
            <w:r/>
            <w:r>
              <w:rPr>
                <w:rFonts w:ascii="仿宋_GB2312" w:hAnsi="仿宋_GB2312" w:eastAsia="仿宋_GB2312"/>
                <w:b w:val="0"/>
                <w:color w:val="000000"/>
                <w:sz w:val="32"/>
              </w:rPr>
              <w:t>非上市且信息缺失，尽调难度高</w:t>
            </w:r>
          </w:p>
        </w:tc>
      </w:tr>
      <w:tr>
        <w:tc>
          <w:tcPr>
            <w:tcW w:type="dxa" w:w="2268"/>
          </w:tcPr>
          <w:p>
            <w:pPr>
              <w:spacing w:lineRule="exact" w:line="600"/>
              <w:jc w:val="center"/>
            </w:pPr>
            <w:r/>
            <w:r>
              <w:rPr>
                <w:rFonts w:ascii="仿宋_GB2312" w:hAnsi="仿宋_GB2312" w:eastAsia="仿宋_GB2312"/>
                <w:b w:val="0"/>
                <w:color w:val="000000"/>
                <w:sz w:val="32"/>
              </w:rPr>
              <w:t>赛道竞争</w:t>
            </w:r>
          </w:p>
        </w:tc>
        <w:tc>
          <w:tcPr>
            <w:tcW w:type="dxa" w:w="6803"/>
          </w:tcPr>
          <w:p>
            <w:pPr>
              <w:spacing w:lineRule="exact" w:line="600"/>
              <w:jc w:val="center"/>
            </w:pPr>
            <w:r/>
            <w:r>
              <w:rPr>
                <w:rFonts w:ascii="仿宋_GB2312" w:hAnsi="仿宋_GB2312" w:eastAsia="仿宋_GB2312"/>
                <w:b w:val="0"/>
                <w:color w:val="000000"/>
                <w:sz w:val="32"/>
              </w:rPr>
              <w:t>钠电赛道涌入者多，洗牌风险</w:t>
            </w:r>
          </w:p>
        </w:tc>
      </w:tr>
    </w:tbl>
    <w:p>
      <w:pPr>
        <w:spacing w:lineRule="exact" w:line="600" w:before="120" w:after="120"/>
        <w:ind w:firstLine="420"/>
        <w:jc w:val="left"/>
      </w:pPr>
      <w:r>
        <w:rPr>
          <w:rFonts w:ascii="黑体" w:hAnsi="黑体" w:eastAsia="黑体"/>
          <w:b w:val="0"/>
          <w:color w:val="000000"/>
          <w:sz w:val="32"/>
        </w:rPr>
        <w:t>七、融资需求分析</w:t>
      </w:r>
    </w:p>
    <w:p>
      <w:pPr>
        <w:spacing w:lineRule="exact" w:line="600" w:before="0" w:after="0"/>
        <w:ind w:firstLine="420"/>
        <w:jc w:val="both"/>
      </w:pPr>
      <w:r>
        <w:rPr>
          <w:rFonts w:ascii="仿宋_GB2312" w:hAnsi="仿宋_GB2312" w:eastAsia="仿宋_GB2312"/>
          <w:b w:val="0"/>
          <w:color w:val="000000"/>
          <w:sz w:val="32"/>
        </w:rPr>
        <w:t>鉴于信息待核，融资需求暂不量化。若后续核实为主业清晰的钠电材料企业，可关注：</w:t>
      </w:r>
    </w:p>
    <w:p>
      <w:pPr>
        <w:spacing w:lineRule="exact" w:line="600" w:before="120" w:after="120"/>
        <w:ind w:firstLine="420"/>
        <w:jc w:val="left"/>
      </w:pPr>
      <w:r>
        <w:rPr>
          <w:rFonts w:ascii="楷体_GB2312" w:hAnsi="楷体_GB2312" w:eastAsia="楷体_GB2312"/>
          <w:b w:val="0"/>
          <w:color w:val="000000"/>
          <w:sz w:val="32"/>
        </w:rPr>
        <w:t>（一）商业保理</w:t>
      </w:r>
    </w:p>
    <w:p>
      <w:pPr>
        <w:spacing w:lineRule="exact" w:line="600" w:before="0" w:after="0"/>
        <w:ind w:firstLine="420"/>
        <w:jc w:val="both"/>
      </w:pPr>
      <w:r>
        <w:rPr>
          <w:rFonts w:ascii="仿宋_GB2312" w:hAnsi="仿宋_GB2312" w:eastAsia="仿宋_GB2312"/>
          <w:b w:val="0"/>
          <w:color w:val="000000"/>
          <w:sz w:val="32"/>
        </w:rPr>
        <w:t>待业务与应收账款形成后评估。</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可依托集群核心企业信用探索。</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中试/量产设备适合融资租赁。</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仅作补充，建议优先股权与银行授信。</w:t>
      </w:r>
    </w:p>
    <w:p>
      <w:pPr>
        <w:spacing w:lineRule="exact" w:line="600" w:before="120" w:after="120"/>
        <w:ind w:firstLine="420"/>
        <w:jc w:val="left"/>
      </w:pPr>
      <w:r>
        <w:rPr>
          <w:rFonts w:ascii="黑体" w:hAnsi="黑体" w:eastAsia="黑体"/>
          <w:b w:val="0"/>
          <w:color w:val="000000"/>
          <w:sz w:val="32"/>
        </w:rPr>
        <w:t>八、综合评价、展望与建议</w:t>
      </w:r>
    </w:p>
    <w:p>
      <w:pPr>
        <w:spacing w:lineRule="exact" w:line="600" w:before="0" w:after="0"/>
        <w:ind w:firstLine="420"/>
        <w:jc w:val="both"/>
      </w:pPr>
      <w:r>
        <w:rPr>
          <w:rFonts w:ascii="仿宋_GB2312" w:hAnsi="仿宋_GB2312" w:eastAsia="仿宋_GB2312"/>
          <w:b w:val="0"/>
          <w:color w:val="000000"/>
          <w:sz w:val="32"/>
        </w:rPr>
        <w:t>山东蔚蓝科技有限公司（肥城）在批次清单中被列为新型锂电/储能材料代表企业，但公开检索无法确证其工商主体与经营数据，本报告严格遵循"不编造"纪律，核心信息均标注待核。</w:t>
      </w:r>
    </w:p>
    <w:p>
      <w:pPr>
        <w:spacing w:lineRule="exact" w:line="600" w:before="0" w:after="0"/>
        <w:ind w:firstLine="420"/>
        <w:jc w:val="both"/>
      </w:pPr>
      <w:r>
        <w:rPr>
          <w:rFonts w:ascii="仿宋_GB2312" w:hAnsi="仿宋_GB2312" w:eastAsia="仿宋_GB2312"/>
          <w:b w:val="0"/>
          <w:color w:val="000000"/>
          <w:sz w:val="32"/>
        </w:rPr>
        <w:t>建议：在将其纳入投资标的前，必须通过工商登记、现场走访与尽职调查核实企业真实身份、股权、产能与技术路线；若确为钠电材料优质主体，可结合肥城产业集群协同价值审慎介入，否则应从本批次代表企业评估中剔除或替换。</w:t>
      </w:r>
    </w:p>
    <w:p>
      <w:pPr>
        <w:spacing w:lineRule="exact" w:line="600" w:before="0" w:after="0"/>
        <w:jc w:val="left"/>
      </w:pPr>
      <w:r>
        <w:rPr>
          <w:rFonts w:ascii="仿宋_GB2312" w:hAnsi="仿宋_GB2312" w:eastAsia="仿宋_GB2312"/>
          <w:b w:val="0"/>
          <w:color w:val="000000"/>
          <w:sz w:val="28"/>
        </w:rPr>
        <w:t>数据来源说明：本报告依据批次任务（batches/batch_03.json）企业清单编写；公开检索参考了山东蔚蓝新能源科技有限公司、山东蔚蓝生物科技有限公司等相关主体信息以作区分提示。肥城"山东蔚蓝科技有限公司"之工商与财务信息均因无法确证而标注待核，不构成任何数据断言。相关信息以尽职调查与官方登记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