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山东济南市中区(能源互联网)特色产业集群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山东电力设备有限公司企业分析报告</w:t>
      </w:r>
    </w:p>
    <w:p>
      <w:pPr>
        <w:spacing w:lineRule="exact" w:line="600" w:before="0" w:after="0"/>
        <w:jc w:val="left"/>
      </w:pPr>
      <w:r>
        <w:rPr>
          <w:rFonts w:ascii="仿宋_GB2312" w:hAnsi="仿宋_GB2312" w:eastAsia="仿宋_GB2312"/>
          <w:b w:val="0"/>
          <w:color w:val="000000"/>
          <w:sz w:val="28"/>
        </w:rPr>
        <w:t>（本报告数据来源于济南市工信局/中国山东网、济南市科技局、闪电新闻、今日头条、西电济南变压器官网等公开渠道，统计时点截至2025—2026年最新披露信息。该公司隶属央企中国电气装备集团，为非上市国有企业，未公开披露完整经审计财务报表，已如实标注。突出出资人、国资层级与党建。）</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电力设备有限公司隶属中国电气装备集团有限公司（2021年经国务院批准重组设立，由国务院国资委直接监管的中央企业）所属山东电工电气集团有限公司，是大型电工装备骨干生产企业。公司位于山东省济南市（济南市经济开发区），是济南市市中区能源互联网产业集聚区与新型电力装备板块的核心龙头企业。</w:t>
      </w:r>
    </w:p>
    <w:p>
      <w:pPr>
        <w:spacing w:lineRule="exact" w:line="600" w:before="0" w:after="0"/>
        <w:ind w:firstLine="420"/>
        <w:jc w:val="both"/>
      </w:pPr>
      <w:r>
        <w:rPr>
          <w:rFonts w:ascii="仿宋_GB2312" w:hAnsi="仿宋_GB2312" w:eastAsia="仿宋_GB2312"/>
          <w:b w:val="0"/>
          <w:color w:val="000000"/>
          <w:sz w:val="32"/>
        </w:rPr>
        <w:t>出资人与国资层级：最终实际控制人为国务院国资委全资持有的中国电气装备集团，属中央企业二级/三级企业（中国电气装备集团—山东电工电气集团—山东电力设备有限公司）。企业性质为国有控股有限责任公司，非上市公司。</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山东电力设备有限公司</w:t>
            </w:r>
          </w:p>
        </w:tc>
      </w:tr>
      <w:tr>
        <w:tc>
          <w:tcPr>
            <w:tcW w:type="dxa" w:w="2551"/>
          </w:tcPr>
          <w:p>
            <w:pPr>
              <w:spacing w:lineRule="exact" w:line="600"/>
              <w:jc w:val="center"/>
            </w:pPr>
            <w:r/>
            <w:r>
              <w:rPr>
                <w:rFonts w:ascii="仿宋_GB2312" w:hAnsi="仿宋_GB2312" w:eastAsia="仿宋_GB2312"/>
                <w:b w:val="0"/>
                <w:color w:val="000000"/>
                <w:sz w:val="32"/>
              </w:rPr>
              <w:t>隶属</w:t>
            </w:r>
          </w:p>
        </w:tc>
        <w:tc>
          <w:tcPr>
            <w:tcW w:type="dxa" w:w="6803"/>
          </w:tcPr>
          <w:p>
            <w:pPr>
              <w:spacing w:lineRule="exact" w:line="600"/>
              <w:jc w:val="center"/>
            </w:pPr>
            <w:r/>
            <w:r>
              <w:rPr>
                <w:rFonts w:ascii="仿宋_GB2312" w:hAnsi="仿宋_GB2312" w:eastAsia="仿宋_GB2312"/>
                <w:b w:val="0"/>
                <w:color w:val="000000"/>
                <w:sz w:val="32"/>
              </w:rPr>
              <w:t>中国电气装备集团—山东电工电气集团</w:t>
            </w:r>
          </w:p>
        </w:tc>
      </w:tr>
      <w:tr>
        <w:tc>
          <w:tcPr>
            <w:tcW w:type="dxa" w:w="2551"/>
          </w:tcPr>
          <w:p>
            <w:pPr>
              <w:spacing w:lineRule="exact" w:line="600"/>
              <w:jc w:val="center"/>
            </w:pPr>
            <w:r/>
            <w:r>
              <w:rPr>
                <w:rFonts w:ascii="仿宋_GB2312" w:hAnsi="仿宋_GB2312" w:eastAsia="仿宋_GB2312"/>
                <w:b w:val="0"/>
                <w:color w:val="000000"/>
                <w:sz w:val="32"/>
              </w:rPr>
              <w:t>实际控制人</w:t>
            </w:r>
          </w:p>
        </w:tc>
        <w:tc>
          <w:tcPr>
            <w:tcW w:type="dxa" w:w="6803"/>
          </w:tcPr>
          <w:p>
            <w:pPr>
              <w:spacing w:lineRule="exact" w:line="600"/>
              <w:jc w:val="center"/>
            </w:pPr>
            <w:r/>
            <w:r>
              <w:rPr>
                <w:rFonts w:ascii="仿宋_GB2312" w:hAnsi="仿宋_GB2312" w:eastAsia="仿宋_GB2312"/>
                <w:b w:val="0"/>
                <w:color w:val="000000"/>
                <w:sz w:val="32"/>
              </w:rPr>
              <w:t>国务院国资委（中央企业）</w:t>
            </w:r>
          </w:p>
        </w:tc>
      </w:tr>
      <w:tr>
        <w:tc>
          <w:tcPr>
            <w:tcW w:type="dxa" w:w="2551"/>
          </w:tcPr>
          <w:p>
            <w:pPr>
              <w:spacing w:lineRule="exact" w:line="600"/>
              <w:jc w:val="center"/>
            </w:pPr>
            <w:r/>
            <w:r>
              <w:rPr>
                <w:rFonts w:ascii="仿宋_GB2312" w:hAnsi="仿宋_GB2312" w:eastAsia="仿宋_GB2312"/>
                <w:b w:val="0"/>
                <w:color w:val="000000"/>
                <w:sz w:val="32"/>
              </w:rPr>
              <w:t>注册地</w:t>
            </w:r>
          </w:p>
        </w:tc>
        <w:tc>
          <w:tcPr>
            <w:tcW w:type="dxa" w:w="6803"/>
          </w:tcPr>
          <w:p>
            <w:pPr>
              <w:spacing w:lineRule="exact" w:line="600"/>
              <w:jc w:val="center"/>
            </w:pPr>
            <w:r/>
            <w:r>
              <w:rPr>
                <w:rFonts w:ascii="仿宋_GB2312" w:hAnsi="仿宋_GB2312" w:eastAsia="仿宋_GB2312"/>
                <w:b w:val="0"/>
                <w:color w:val="000000"/>
                <w:sz w:val="32"/>
              </w:rPr>
              <w:t>山东省济南市（经济开发区）</w:t>
            </w:r>
          </w:p>
        </w:tc>
      </w:tr>
      <w:tr>
        <w:tc>
          <w:tcPr>
            <w:tcW w:type="dxa" w:w="2551"/>
          </w:tcPr>
          <w:p>
            <w:pPr>
              <w:spacing w:lineRule="exact" w:line="600"/>
              <w:jc w:val="center"/>
            </w:pPr>
            <w:r/>
            <w:r>
              <w:rPr>
                <w:rFonts w:ascii="仿宋_GB2312" w:hAnsi="仿宋_GB2312" w:eastAsia="仿宋_GB2312"/>
                <w:b w:val="0"/>
                <w:color w:val="000000"/>
                <w:sz w:val="32"/>
              </w:rPr>
              <w:t>行业</w:t>
            </w:r>
          </w:p>
        </w:tc>
        <w:tc>
          <w:tcPr>
            <w:tcW w:type="dxa" w:w="6803"/>
          </w:tcPr>
          <w:p>
            <w:pPr>
              <w:spacing w:lineRule="exact" w:line="600"/>
              <w:jc w:val="center"/>
            </w:pPr>
            <w:r/>
            <w:r>
              <w:rPr>
                <w:rFonts w:ascii="仿宋_GB2312" w:hAnsi="仿宋_GB2312" w:eastAsia="仿宋_GB2312"/>
                <w:b w:val="0"/>
                <w:color w:val="000000"/>
                <w:sz w:val="32"/>
              </w:rPr>
              <w:t>电工装备制造（变压器/电抗器）</w:t>
            </w:r>
          </w:p>
        </w:tc>
      </w:tr>
      <w:tr>
        <w:tc>
          <w:tcPr>
            <w:tcW w:type="dxa" w:w="2551"/>
          </w:tcPr>
          <w:p>
            <w:pPr>
              <w:spacing w:lineRule="exact" w:line="600"/>
              <w:jc w:val="center"/>
            </w:pPr>
            <w:r/>
            <w:r>
              <w:rPr>
                <w:rFonts w:ascii="仿宋_GB2312" w:hAnsi="仿宋_GB2312" w:eastAsia="仿宋_GB2312"/>
                <w:b w:val="0"/>
                <w:color w:val="000000"/>
                <w:sz w:val="32"/>
              </w:rPr>
              <w:t>荣誉</w:t>
            </w:r>
          </w:p>
        </w:tc>
        <w:tc>
          <w:tcPr>
            <w:tcW w:type="dxa" w:w="6803"/>
          </w:tcPr>
          <w:p>
            <w:pPr>
              <w:spacing w:lineRule="exact" w:line="600"/>
              <w:jc w:val="center"/>
            </w:pPr>
            <w:r/>
            <w:r>
              <w:rPr>
                <w:rFonts w:ascii="仿宋_GB2312" w:hAnsi="仿宋_GB2312" w:eastAsia="仿宋_GB2312"/>
                <w:b w:val="0"/>
                <w:color w:val="000000"/>
                <w:sz w:val="32"/>
              </w:rPr>
              <w:t>国家级制造业单项冠军、国家绿色工厂</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公司作为山东电工电气集团核心骨干企业，设有特高压总装配、器身装配、引线装配等专业车间及国家级企业技术中心、院士工作站；党组织健全，落实"三重一大"决策制度，党建与生产经营深度融合。</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深耕特高压电力设备研发制造十五年，全面掌握1000千伏特高压交流变压器、±1100千伏换流变压器、特高压并联电抗器、智能变压器等全系列核心产品技术。"十四五"以来生产的182台特高压装备全部实现一次试验成功，为国家陇东—山东、哈密—重庆等"十七交二十三直"特高压工程提供400余台高质量产品。2025年自主研制世界首台320兆乏低噪声特高压并联电抗器（62.6分贝），创全球特大容量低噪声特高压电抗器新纪录。</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为特高压变压器与电抗器研制领域的国家队与行业第一梯队企业，是支撑新型电力系统建设与能源转型的核心力量。主营业务涵盖1000千伏及以下电力变压器、并联电抗器，±1100千伏及以下换流变压器、移动变电站、预装式变电站、储能电站，以及特高压精益运检、各类运维检修等。</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w:t>
      </w:r>
    </w:p>
    <w:p>
      <w:pPr>
        <w:spacing w:lineRule="exact" w:line="600" w:before="0" w:after="0"/>
        <w:ind w:firstLine="420"/>
        <w:jc w:val="both"/>
      </w:pPr>
      <w:r>
        <w:rPr>
          <w:rFonts w:ascii="仿宋_GB2312" w:hAnsi="仿宋_GB2312" w:eastAsia="仿宋_GB2312"/>
          <w:b w:val="0"/>
          <w:color w:val="000000"/>
          <w:sz w:val="32"/>
        </w:rPr>
        <w:t>业务以特高压/超高压变压器与电抗器研制为核心，延伸至换流变压器、移动/预装式变电站、储能电站及运维检修服务，产品覆盖"交直流、全系列、全电压等级"。</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核心产品：1000kV交流变压器、±1100kV换流变压器、特高压并联电抗器、智能变压器、移动变电站、预装式变电站、储能电站；服务：特高压精益运检与运维检修。产品应用于白鹤滩—江苏、陇东—山东等国家重大能源工程，并出口全球40余国。</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客户以国家电网、南方电网等电网公司及大型发电企业为主，并服务"西电东送"等国家重大工程；海外客户覆盖40余个国家。客户信用高、订单稳定。</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原材料主要为硅钢、电磁线、绝缘材料、变压器油等，依托集团集采与合格供应商体系，遵循央企采购规范。</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拥有世界上单厂产能最大、工装设备最先进、试验能力最强的电工装备制造基地之一；具备国家级企业技术中心、院士工作站，42/66项新产品通过国家级鉴定（34/57项国际领先）。</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以面向电网与能源央企的招投标直销为主，依托集团渠道与品牌拓展国内外市场。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公开披露：2024年公司实现产值46.84亿元，同比增长35.6%，稳居行业领先地位；产品覆盖全国32个省市自治区，出口40余国。"十四五"以来182台特高压装备一次试验成功，行业纪录突出。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山东电力设备有限公司为非上市央企子公司，未公开披露经审计年度财务报表，未公开营收、净利润、资产负债率等完整指标。以下列示公开产值数据。</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1984"/>
          </w:tcPr>
          <w:p>
            <w:pPr>
              <w:spacing w:lineRule="exact" w:line="600"/>
              <w:jc w:val="center"/>
            </w:pPr>
            <w:r/>
            <w:r>
              <w:rPr>
                <w:rFonts w:ascii="黑体" w:hAnsi="黑体" w:eastAsia="黑体"/>
                <w:b/>
                <w:color w:val="000000"/>
                <w:sz w:val="32"/>
              </w:rPr>
              <w:t>年度</w:t>
            </w:r>
          </w:p>
        </w:tc>
        <w:tc>
          <w:tcPr>
            <w:tcW w:type="dxa" w:w="2268"/>
          </w:tcPr>
          <w:p>
            <w:pPr>
              <w:spacing w:lineRule="exact" w:line="600"/>
              <w:jc w:val="center"/>
            </w:pPr>
            <w:r/>
            <w:r>
              <w:rPr>
                <w:rFonts w:ascii="黑体" w:hAnsi="黑体" w:eastAsia="黑体"/>
                <w:b/>
                <w:color w:val="000000"/>
                <w:sz w:val="32"/>
              </w:rPr>
              <w:t>产值</w:t>
            </w:r>
          </w:p>
        </w:tc>
        <w:tc>
          <w:tcPr>
            <w:tcW w:type="dxa" w:w="2268"/>
          </w:tcPr>
          <w:p>
            <w:pPr>
              <w:spacing w:lineRule="exact" w:line="600"/>
              <w:jc w:val="center"/>
            </w:pPr>
            <w:r/>
            <w:r>
              <w:rPr>
                <w:rFonts w:ascii="黑体" w:hAnsi="黑体" w:eastAsia="黑体"/>
                <w:b/>
                <w:color w:val="000000"/>
                <w:sz w:val="32"/>
              </w:rPr>
              <w:t>同比增速</w:t>
            </w:r>
          </w:p>
        </w:tc>
        <w:tc>
          <w:tcPr>
            <w:tcW w:type="dxa" w:w="2835"/>
          </w:tcPr>
          <w:p>
            <w:pPr>
              <w:spacing w:lineRule="exact" w:line="600"/>
              <w:jc w:val="center"/>
            </w:pPr>
            <w:r/>
            <w:r>
              <w:rPr>
                <w:rFonts w:ascii="黑体" w:hAnsi="黑体" w:eastAsia="黑体"/>
                <w:b/>
                <w:color w:val="000000"/>
                <w:sz w:val="32"/>
              </w:rPr>
              <w:t>备注</w:t>
            </w:r>
          </w:p>
        </w:tc>
      </w:tr>
      <w:tr>
        <w:tc>
          <w:tcPr>
            <w:tcW w:type="dxa" w:w="1984"/>
          </w:tcPr>
          <w:p>
            <w:pPr>
              <w:spacing w:lineRule="exact" w:line="600"/>
              <w:jc w:val="center"/>
            </w:pPr>
            <w:r/>
            <w:r>
              <w:rPr>
                <w:rFonts w:ascii="仿宋_GB2312" w:hAnsi="仿宋_GB2312" w:eastAsia="仿宋_GB2312"/>
                <w:b w:val="0"/>
                <w:color w:val="000000"/>
                <w:sz w:val="32"/>
              </w:rPr>
              <w:t>2024年</w:t>
            </w:r>
          </w:p>
        </w:tc>
        <w:tc>
          <w:tcPr>
            <w:tcW w:type="dxa" w:w="2268"/>
          </w:tcPr>
          <w:p>
            <w:pPr>
              <w:spacing w:lineRule="exact" w:line="600"/>
              <w:jc w:val="center"/>
            </w:pPr>
            <w:r/>
            <w:r>
              <w:rPr>
                <w:rFonts w:ascii="仿宋_GB2312" w:hAnsi="仿宋_GB2312" w:eastAsia="仿宋_GB2312"/>
                <w:b w:val="0"/>
                <w:color w:val="000000"/>
                <w:sz w:val="32"/>
              </w:rPr>
              <w:t>46.84亿元</w:t>
            </w:r>
          </w:p>
        </w:tc>
        <w:tc>
          <w:tcPr>
            <w:tcW w:type="dxa" w:w="2268"/>
          </w:tcPr>
          <w:p>
            <w:pPr>
              <w:spacing w:lineRule="exact" w:line="600"/>
              <w:jc w:val="center"/>
            </w:pPr>
            <w:r/>
            <w:r>
              <w:rPr>
                <w:rFonts w:ascii="仿宋_GB2312" w:hAnsi="仿宋_GB2312" w:eastAsia="仿宋_GB2312"/>
                <w:b w:val="0"/>
                <w:color w:val="000000"/>
                <w:sz w:val="32"/>
              </w:rPr>
              <w:t>+35.6%</w:t>
            </w:r>
          </w:p>
        </w:tc>
        <w:tc>
          <w:tcPr>
            <w:tcW w:type="dxa" w:w="2835"/>
          </w:tcPr>
          <w:p>
            <w:pPr>
              <w:spacing w:lineRule="exact" w:line="600"/>
              <w:jc w:val="center"/>
            </w:pPr>
            <w:r/>
            <w:r>
              <w:rPr>
                <w:rFonts w:ascii="仿宋_GB2312" w:hAnsi="仿宋_GB2312" w:eastAsia="仿宋_GB2312"/>
                <w:b w:val="0"/>
                <w:color w:val="000000"/>
                <w:sz w:val="32"/>
              </w:rPr>
              <w:t>公开披露</w:t>
            </w:r>
          </w:p>
        </w:tc>
      </w:tr>
      <w:tr>
        <w:tc>
          <w:tcPr>
            <w:tcW w:type="dxa" w:w="1984"/>
          </w:tcPr>
          <w:p>
            <w:pPr>
              <w:spacing w:lineRule="exact" w:line="600"/>
              <w:jc w:val="center"/>
            </w:pPr>
            <w:r/>
            <w:r>
              <w:rPr>
                <w:rFonts w:ascii="仿宋_GB2312" w:hAnsi="仿宋_GB2312" w:eastAsia="仿宋_GB2312"/>
                <w:b w:val="0"/>
                <w:color w:val="000000"/>
                <w:sz w:val="32"/>
              </w:rPr>
              <w:t>近年趋势</w:t>
            </w:r>
          </w:p>
        </w:tc>
        <w:tc>
          <w:tcPr>
            <w:tcW w:type="dxa" w:w="2268"/>
          </w:tcPr>
          <w:p>
            <w:pPr>
              <w:spacing w:lineRule="exact" w:line="600"/>
              <w:jc w:val="center"/>
            </w:pPr>
            <w:r/>
            <w:r>
              <w:rPr>
                <w:rFonts w:ascii="仿宋_GB2312" w:hAnsi="仿宋_GB2312" w:eastAsia="仿宋_GB2312"/>
                <w:b w:val="0"/>
                <w:color w:val="000000"/>
                <w:sz w:val="32"/>
              </w:rPr>
              <w:t>高速增长</w:t>
            </w:r>
          </w:p>
        </w:tc>
        <w:tc>
          <w:tcPr>
            <w:tcW w:type="dxa" w:w="2268"/>
          </w:tcPr>
          <w:p>
            <w:pPr>
              <w:spacing w:lineRule="exact" w:line="600"/>
              <w:jc w:val="center"/>
            </w:pPr>
            <w:r/>
            <w:r>
              <w:rPr>
                <w:rFonts w:ascii="仿宋_GB2312" w:hAnsi="仿宋_GB2312" w:eastAsia="仿宋_GB2312"/>
                <w:b w:val="0"/>
                <w:color w:val="000000"/>
                <w:sz w:val="32"/>
              </w:rPr>
              <w:t>—</w:t>
            </w:r>
          </w:p>
        </w:tc>
        <w:tc>
          <w:tcPr>
            <w:tcW w:type="dxa" w:w="2835"/>
          </w:tcPr>
          <w:p>
            <w:pPr>
              <w:spacing w:lineRule="exact" w:line="600"/>
              <w:jc w:val="center"/>
            </w:pPr>
            <w:r/>
            <w:r>
              <w:rPr>
                <w:rFonts w:ascii="仿宋_GB2312" w:hAnsi="仿宋_GB2312" w:eastAsia="仿宋_GB2312"/>
                <w:b w:val="0"/>
                <w:color w:val="000000"/>
                <w:sz w:val="32"/>
              </w:rPr>
              <w:t>产值行业领先</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2024年产值46.84亿元、同比+35.6%，显示经营规模快速扩张、盈利基本面向好。具体毛利率、净利率未公开，但作为特高压装备龙头，产品附加值与技术壁垒较高。</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公司拥有全球领先的电工装备制造基地与国家级技术中心，固定资产与技术资产雄厚，资产质量优。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作为央企子公司，信用等级高、融资渠道畅通，偿债能力强；具体负债率未公开。</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面向电网央企的回款相对有保障；具体经营现金流未公开。</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与同处济南的西电济南变压器股份有限公司等同业相比，公司在特高压换流变、电抗器领域处国内第一梯队；属中国电气装备集团体系，资源整合与研发实力突出。</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国有控股企业，党组织发挥领导作用，落实"三重一大"决策制度，治理规范，党建统领贯穿生产经营。</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管理层由山东电工电气集团委派，具深厚特高压装备制造与企业管理背景（如特高压总装车间主任李发永等行业专家）。</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遵循中国电气装备集团内控、审计与合规体系，实施全流程穿透式质量管控，从设计、制造到试验层层把关。</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拥有以院士工作站、国家级企业技术中心为依托的高层次研发与制造人才队伍，技能型工匠与工程师构成核心竞争力。</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技术壁垒：全面掌握特高压全系列核心产品技术，182台特高压装备一次试验成功，世界首台低噪声电抗器等突破。</w:t>
      </w:r>
    </w:p>
    <w:p>
      <w:pPr>
        <w:spacing w:lineRule="exact" w:line="600" w:before="0" w:after="0"/>
        <w:ind w:firstLine="420"/>
        <w:jc w:val="both"/>
      </w:pPr>
      <w:r>
        <w:rPr>
          <w:rFonts w:ascii="仿宋_GB2312" w:hAnsi="仿宋_GB2312" w:eastAsia="仿宋_GB2312"/>
          <w:b w:val="0"/>
          <w:color w:val="000000"/>
          <w:sz w:val="32"/>
        </w:rPr>
        <w:t>制造与试验能力：全球领先的单厂产能、工装与试验基地，独有装配制造工艺体系。</w:t>
      </w:r>
    </w:p>
    <w:p>
      <w:pPr>
        <w:spacing w:lineRule="exact" w:line="600" w:before="0" w:after="0"/>
        <w:ind w:firstLine="420"/>
        <w:jc w:val="both"/>
      </w:pPr>
      <w:r>
        <w:rPr>
          <w:rFonts w:ascii="仿宋_GB2312" w:hAnsi="仿宋_GB2312" w:eastAsia="仿宋_GB2312"/>
          <w:b w:val="0"/>
          <w:color w:val="000000"/>
          <w:sz w:val="32"/>
        </w:rPr>
        <w:t>资质与品牌：国家级制造业单项冠军、绿色工厂、国家知识产权优势企业，品牌国际领先。</w:t>
      </w:r>
    </w:p>
    <w:p>
      <w:pPr>
        <w:spacing w:lineRule="exact" w:line="600" w:before="0" w:after="0"/>
        <w:ind w:firstLine="420"/>
        <w:jc w:val="both"/>
      </w:pPr>
      <w:r>
        <w:rPr>
          <w:rFonts w:ascii="仿宋_GB2312" w:hAnsi="仿宋_GB2312" w:eastAsia="仿宋_GB2312"/>
          <w:b w:val="0"/>
          <w:color w:val="000000"/>
          <w:sz w:val="32"/>
        </w:rPr>
        <w:t>央企资源：背靠中国电气装备集团，研发、订单、资金与产业链协同优势显著。</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电网投资节奏与特高压建设规划影响订单；电力装备行业竞争激烈。</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大型装备交付周期长、技术难度大，质量与交付风险需严控；原材料价格波动影响成本。</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财务未公开；重资产模式资本开支大，但央企信用支撑强。</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涉及电网安全与重大装备质量监管，合规责任重大；需满足绿色制造与能效要求。</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持续攻关特高压前沿技术；强化全流程质量管控；深化党建与合规体系；把握算电协同新机遇拓展储能等新业务。</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公司为央企子公司，融资需求有限；但可在储能电站、智能运检等新业务拓展中，与山东投资在产业基金、融资租赁方面探索协同。</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综合评价：山东电力设备有限公司是特高压变压器与电抗器领域的国家队龙头，技术、制造与品牌实力国际领先，是市中区能源互联网产业集聚区的核心支柱，综合实力与战略价值突出。</w:t>
      </w:r>
    </w:p>
    <w:p>
      <w:pPr>
        <w:spacing w:lineRule="exact" w:line="600" w:before="0" w:after="0"/>
        <w:ind w:firstLine="420"/>
        <w:jc w:val="both"/>
      </w:pPr>
      <w:r>
        <w:rPr>
          <w:rFonts w:ascii="仿宋_GB2312" w:hAnsi="仿宋_GB2312" w:eastAsia="仿宋_GB2312"/>
          <w:b w:val="0"/>
          <w:color w:val="000000"/>
          <w:sz w:val="32"/>
        </w:rPr>
        <w:t>发展展望：随着新型电力系统与"西电东送"、算电协同建设推进，特高压装备需求持续；公司规划扩充产能、攻坚前沿技术，成长空间广阔。</w:t>
      </w:r>
    </w:p>
    <w:p>
      <w:pPr>
        <w:spacing w:lineRule="exact" w:line="600" w:before="0" w:after="0"/>
        <w:ind w:firstLine="420"/>
        <w:jc w:val="both"/>
      </w:pPr>
      <w:r>
        <w:rPr>
          <w:rFonts w:ascii="仿宋_GB2312" w:hAnsi="仿宋_GB2312" w:eastAsia="仿宋_GB2312"/>
          <w:b w:val="0"/>
          <w:color w:val="000000"/>
          <w:sz w:val="32"/>
        </w:rPr>
        <w:t>挑战：重资产回报周期、原材料波动、技术迭代与安全质量高压。</w:t>
      </w:r>
    </w:p>
    <w:p>
      <w:pPr>
        <w:spacing w:lineRule="exact" w:line="600" w:before="0" w:after="0"/>
        <w:ind w:firstLine="420"/>
        <w:jc w:val="both"/>
      </w:pPr>
      <w:r>
        <w:rPr>
          <w:rFonts w:ascii="仿宋_GB2312" w:hAnsi="仿宋_GB2312" w:eastAsia="仿宋_GB2312"/>
          <w:b w:val="0"/>
          <w:color w:val="000000"/>
          <w:sz w:val="32"/>
        </w:rPr>
        <w:t>建议：一是巩固特高压领先优势，拓展储能与智能运检；二是深化党建统领与"三重一大"规范；三是以产业基金撬动新业务，与山东投资在装备制造升级领域协同。</w:t>
      </w:r>
    </w:p>
    <w:p>
      <w:pPr>
        <w:spacing w:lineRule="exact" w:line="600" w:before="0" w:after="0"/>
        <w:jc w:val="left"/>
      </w:pPr>
      <w:r>
        <w:rPr>
          <w:rFonts w:ascii="仿宋_GB2312" w:hAnsi="仿宋_GB2312" w:eastAsia="仿宋_GB2312"/>
          <w:b w:val="0"/>
          <w:color w:val="000000"/>
          <w:sz w:val="28"/>
        </w:rPr>
        <w:t>数据来源说明：本报告数据来源于济南市工业和信息化局/中国山东网（sdchina.com）、济南市科技局、闪电新闻、今日头条、西电济南变压器官网（xdjnbyq.com）等公开渠道。财务数据未公开披露，已如实标注。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