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山东济南市中（数字经济）特色产业集群</w:t>
      </w:r>
    </w:p>
    <w:p>
      <w:pPr>
        <w:spacing w:lineRule="exact" w:line="600" w:before="240" w:after="240"/>
        <w:ind w:firstLine="0"/>
        <w:jc w:val="center"/>
      </w:pPr>
      <w:r>
        <w:rPr>
          <w:rFonts w:ascii="方正小标宋简体" w:hAnsi="方正小标宋简体" w:eastAsia="方正小标宋简体"/>
          <w:b w:val="0"/>
          <w:color w:val="000000"/>
          <w:sz w:val="44"/>
        </w:rPr>
        <w:t>中科（济南）超级云智算中心企业分析报告</w:t>
      </w:r>
    </w:p>
    <w:p>
      <w:pPr>
        <w:spacing w:lineRule="exact" w:line="600" w:before="0" w:after="0"/>
        <w:jc w:val="left"/>
      </w:pPr>
      <w:r>
        <w:rPr>
          <w:rFonts w:ascii="仿宋_GB2312" w:hAnsi="仿宋_GB2312" w:eastAsia="仿宋_GB2312"/>
          <w:b w:val="0"/>
          <w:color w:val="000000"/>
          <w:sz w:val="28"/>
        </w:rPr>
        <w:t>（注：批次所列"中科（济南）超级云智算中心"为市中区重点算力基础设施项目，项目运营主体为"中科智算（山东）信息科技发展有限公司"，由济南市中区与中国科学院科技成果转化平台中科信控合作、并购控股上市公司森远股份后设立。本报告以批次名称为标题，正文据实标注运营主体。数据来源于市中区政府网、今日头条、新黄河、爱企查等公开渠道，统计时点截至2025年最新披露信息。项目公司为非上市企业，财务数据未公开，已如实标注。）</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中科（济南）超级云智算中心由中科智算（山东）信息科技发展有限公司具体负责项目建设运营。该公司由济南市中区与中国科学院科技成果转化平台中科信控合作设立，系市中控股集团出资4.85亿元与中科信控共同并购并实控上市公司森远股份（鞍山森远路桥股份有限公司，深交所300210）后，在市中区成立森远股份算力业务全国总部并投资建设该项目。项目单位于2025年12月11日通过市中区固定资产投资项目节能审查（市中行审字〔2025〕8号）。</w:t>
      </w:r>
    </w:p>
    <w:p>
      <w:pPr>
        <w:spacing w:lineRule="exact" w:line="600" w:before="0" w:after="0"/>
        <w:ind w:firstLine="420"/>
        <w:jc w:val="both"/>
      </w:pPr>
      <w:r>
        <w:rPr>
          <w:rFonts w:ascii="仿宋_GB2312" w:hAnsi="仿宋_GB2312" w:eastAsia="仿宋_GB2312"/>
          <w:b w:val="0"/>
          <w:color w:val="000000"/>
          <w:sz w:val="32"/>
        </w:rPr>
        <w:t>项目总投资11.4亿元，占地8.7亩，总建筑面积约9352平方米（约0.94万平方米），按国家A级标准规划建设398个机柜，规划智能算力总规模4000P，为人工智能企业提供算力租赁、大模型推理、云存储等服务。一期于2025年底建成投用1000P，后续根据算力需求滚动建设，首期1000P算力已基本实现消纳。</w:t>
      </w:r>
    </w:p>
    <w:tbl>
      <w:tblPr>
        <w:tblStyle w:val="TableGrid"/>
        <w:tblW w:type="auto" w:w="0"/>
        <w:jc w:val="center"/>
        <w:tblLook w:firstColumn="1" w:firstRow="1" w:lastColumn="0" w:lastRow="0" w:noHBand="0" w:noVBand="1" w:val="04A0"/>
      </w:tblPr>
      <w:tblGrid>
        <w:gridCol w:w="4422"/>
        <w:gridCol w:w="4422"/>
      </w:tblGrid>
      <w:tr>
        <w:tc>
          <w:tcPr>
            <w:tcW w:type="dxa" w:w="2551"/>
          </w:tcPr>
          <w:p>
            <w:pPr>
              <w:spacing w:lineRule="exact" w:line="600"/>
              <w:jc w:val="center"/>
            </w:pPr>
            <w:r/>
            <w:r>
              <w:rPr>
                <w:rFonts w:ascii="黑体" w:hAnsi="黑体" w:eastAsia="黑体"/>
                <w:b/>
                <w:color w:val="000000"/>
                <w:sz w:val="32"/>
              </w:rPr>
              <w:t>项目</w:t>
            </w:r>
          </w:p>
        </w:tc>
        <w:tc>
          <w:tcPr>
            <w:tcW w:type="dxa" w:w="6803"/>
          </w:tcPr>
          <w:p>
            <w:pPr>
              <w:spacing w:lineRule="exact" w:line="600"/>
              <w:jc w:val="center"/>
            </w:pPr>
            <w:r/>
            <w:r>
              <w:rPr>
                <w:rFonts w:ascii="黑体" w:hAnsi="黑体" w:eastAsia="黑体"/>
                <w:b/>
                <w:color w:val="000000"/>
                <w:sz w:val="32"/>
              </w:rPr>
              <w:t>内容</w:t>
            </w:r>
          </w:p>
        </w:tc>
      </w:tr>
      <w:tr>
        <w:tc>
          <w:tcPr>
            <w:tcW w:type="dxa" w:w="2551"/>
          </w:tcPr>
          <w:p>
            <w:pPr>
              <w:spacing w:lineRule="exact" w:line="600"/>
              <w:jc w:val="center"/>
            </w:pPr>
            <w:r/>
            <w:r>
              <w:rPr>
                <w:rFonts w:ascii="仿宋_GB2312" w:hAnsi="仿宋_GB2312" w:eastAsia="仿宋_GB2312"/>
                <w:b w:val="0"/>
                <w:color w:val="000000"/>
                <w:sz w:val="32"/>
              </w:rPr>
              <w:t>项目名称</w:t>
            </w:r>
          </w:p>
        </w:tc>
        <w:tc>
          <w:tcPr>
            <w:tcW w:type="dxa" w:w="6803"/>
          </w:tcPr>
          <w:p>
            <w:pPr>
              <w:spacing w:lineRule="exact" w:line="600"/>
              <w:jc w:val="center"/>
            </w:pPr>
            <w:r/>
            <w:r>
              <w:rPr>
                <w:rFonts w:ascii="仿宋_GB2312" w:hAnsi="仿宋_GB2312" w:eastAsia="仿宋_GB2312"/>
                <w:b w:val="0"/>
                <w:color w:val="000000"/>
                <w:sz w:val="32"/>
              </w:rPr>
              <w:t>中科（济南）超级云智算中心</w:t>
            </w:r>
          </w:p>
        </w:tc>
      </w:tr>
      <w:tr>
        <w:tc>
          <w:tcPr>
            <w:tcW w:type="dxa" w:w="2551"/>
          </w:tcPr>
          <w:p>
            <w:pPr>
              <w:spacing w:lineRule="exact" w:line="600"/>
              <w:jc w:val="center"/>
            </w:pPr>
            <w:r/>
            <w:r>
              <w:rPr>
                <w:rFonts w:ascii="仿宋_GB2312" w:hAnsi="仿宋_GB2312" w:eastAsia="仿宋_GB2312"/>
                <w:b w:val="0"/>
                <w:color w:val="000000"/>
                <w:sz w:val="32"/>
              </w:rPr>
              <w:t>运营主体</w:t>
            </w:r>
          </w:p>
        </w:tc>
        <w:tc>
          <w:tcPr>
            <w:tcW w:type="dxa" w:w="6803"/>
          </w:tcPr>
          <w:p>
            <w:pPr>
              <w:spacing w:lineRule="exact" w:line="600"/>
              <w:jc w:val="center"/>
            </w:pPr>
            <w:r/>
            <w:r>
              <w:rPr>
                <w:rFonts w:ascii="仿宋_GB2312" w:hAnsi="仿宋_GB2312" w:eastAsia="仿宋_GB2312"/>
                <w:b w:val="0"/>
                <w:color w:val="000000"/>
                <w:sz w:val="32"/>
              </w:rPr>
              <w:t>中科智算（山东）信息科技发展有限公司</w:t>
            </w:r>
          </w:p>
        </w:tc>
      </w:tr>
      <w:tr>
        <w:tc>
          <w:tcPr>
            <w:tcW w:type="dxa" w:w="2551"/>
          </w:tcPr>
          <w:p>
            <w:pPr>
              <w:spacing w:lineRule="exact" w:line="600"/>
              <w:jc w:val="center"/>
            </w:pPr>
            <w:r/>
            <w:r>
              <w:rPr>
                <w:rFonts w:ascii="仿宋_GB2312" w:hAnsi="仿宋_GB2312" w:eastAsia="仿宋_GB2312"/>
                <w:b w:val="0"/>
                <w:color w:val="000000"/>
                <w:sz w:val="32"/>
              </w:rPr>
              <w:t>总投资</w:t>
            </w:r>
          </w:p>
        </w:tc>
        <w:tc>
          <w:tcPr>
            <w:tcW w:type="dxa" w:w="6803"/>
          </w:tcPr>
          <w:p>
            <w:pPr>
              <w:spacing w:lineRule="exact" w:line="600"/>
              <w:jc w:val="center"/>
            </w:pPr>
            <w:r/>
            <w:r>
              <w:rPr>
                <w:rFonts w:ascii="仿宋_GB2312" w:hAnsi="仿宋_GB2312" w:eastAsia="仿宋_GB2312"/>
                <w:b w:val="0"/>
                <w:color w:val="000000"/>
                <w:sz w:val="32"/>
              </w:rPr>
              <w:t>11.4亿元人民币</w:t>
            </w:r>
          </w:p>
        </w:tc>
      </w:tr>
      <w:tr>
        <w:tc>
          <w:tcPr>
            <w:tcW w:type="dxa" w:w="2551"/>
          </w:tcPr>
          <w:p>
            <w:pPr>
              <w:spacing w:lineRule="exact" w:line="600"/>
              <w:jc w:val="center"/>
            </w:pPr>
            <w:r/>
            <w:r>
              <w:rPr>
                <w:rFonts w:ascii="仿宋_GB2312" w:hAnsi="仿宋_GB2312" w:eastAsia="仿宋_GB2312"/>
                <w:b w:val="0"/>
                <w:color w:val="000000"/>
                <w:sz w:val="32"/>
              </w:rPr>
              <w:t>规划算力</w:t>
            </w:r>
          </w:p>
        </w:tc>
        <w:tc>
          <w:tcPr>
            <w:tcW w:type="dxa" w:w="6803"/>
          </w:tcPr>
          <w:p>
            <w:pPr>
              <w:spacing w:lineRule="exact" w:line="600"/>
              <w:jc w:val="center"/>
            </w:pPr>
            <w:r/>
            <w:r>
              <w:rPr>
                <w:rFonts w:ascii="仿宋_GB2312" w:hAnsi="仿宋_GB2312" w:eastAsia="仿宋_GB2312"/>
                <w:b w:val="0"/>
                <w:color w:val="000000"/>
                <w:sz w:val="32"/>
              </w:rPr>
              <w:t>4000P（一期1000P已于2025年底投用）</w:t>
            </w:r>
          </w:p>
        </w:tc>
      </w:tr>
      <w:tr>
        <w:tc>
          <w:tcPr>
            <w:tcW w:type="dxa" w:w="2551"/>
          </w:tcPr>
          <w:p>
            <w:pPr>
              <w:spacing w:lineRule="exact" w:line="600"/>
              <w:jc w:val="center"/>
            </w:pPr>
            <w:r/>
            <w:r>
              <w:rPr>
                <w:rFonts w:ascii="仿宋_GB2312" w:hAnsi="仿宋_GB2312" w:eastAsia="仿宋_GB2312"/>
                <w:b w:val="0"/>
                <w:color w:val="000000"/>
                <w:sz w:val="32"/>
              </w:rPr>
              <w:t>建筑面积</w:t>
            </w:r>
          </w:p>
        </w:tc>
        <w:tc>
          <w:tcPr>
            <w:tcW w:type="dxa" w:w="6803"/>
          </w:tcPr>
          <w:p>
            <w:pPr>
              <w:spacing w:lineRule="exact" w:line="600"/>
              <w:jc w:val="center"/>
            </w:pPr>
            <w:r/>
            <w:r>
              <w:rPr>
                <w:rFonts w:ascii="仿宋_GB2312" w:hAnsi="仿宋_GB2312" w:eastAsia="仿宋_GB2312"/>
                <w:b w:val="0"/>
                <w:color w:val="000000"/>
                <w:sz w:val="32"/>
              </w:rPr>
              <w:t>约9352平方米（398个A级机柜）</w:t>
            </w:r>
          </w:p>
        </w:tc>
      </w:tr>
      <w:tr>
        <w:tc>
          <w:tcPr>
            <w:tcW w:type="dxa" w:w="2551"/>
          </w:tcPr>
          <w:p>
            <w:pPr>
              <w:spacing w:lineRule="exact" w:line="600"/>
              <w:jc w:val="center"/>
            </w:pPr>
            <w:r/>
            <w:r>
              <w:rPr>
                <w:rFonts w:ascii="仿宋_GB2312" w:hAnsi="仿宋_GB2312" w:eastAsia="仿宋_GB2312"/>
                <w:b w:val="0"/>
                <w:color w:val="000000"/>
                <w:sz w:val="32"/>
              </w:rPr>
              <w:t>建设模式</w:t>
            </w:r>
          </w:p>
        </w:tc>
        <w:tc>
          <w:tcPr>
            <w:tcW w:type="dxa" w:w="6803"/>
          </w:tcPr>
          <w:p>
            <w:pPr>
              <w:spacing w:lineRule="exact" w:line="600"/>
              <w:jc w:val="center"/>
            </w:pPr>
            <w:r/>
            <w:r>
              <w:rPr>
                <w:rFonts w:ascii="仿宋_GB2312" w:hAnsi="仿宋_GB2312" w:eastAsia="仿宋_GB2312"/>
                <w:b w:val="0"/>
                <w:color w:val="000000"/>
                <w:sz w:val="32"/>
              </w:rPr>
              <w:t>市中区+中科信控并购森远股份，"算力+股权收益"</w:t>
            </w:r>
          </w:p>
        </w:tc>
      </w:tr>
      <w:tr>
        <w:tc>
          <w:tcPr>
            <w:tcW w:type="dxa" w:w="2551"/>
          </w:tcPr>
          <w:p>
            <w:pPr>
              <w:spacing w:lineRule="exact" w:line="600"/>
              <w:jc w:val="center"/>
            </w:pPr>
            <w:r/>
            <w:r>
              <w:rPr>
                <w:rFonts w:ascii="仿宋_GB2312" w:hAnsi="仿宋_GB2312" w:eastAsia="仿宋_GB2312"/>
                <w:b w:val="0"/>
                <w:color w:val="000000"/>
                <w:sz w:val="32"/>
              </w:rPr>
              <w:t>位于</w:t>
            </w:r>
          </w:p>
        </w:tc>
        <w:tc>
          <w:tcPr>
            <w:tcW w:type="dxa" w:w="6803"/>
          </w:tcPr>
          <w:p>
            <w:pPr>
              <w:spacing w:lineRule="exact" w:line="600"/>
              <w:jc w:val="center"/>
            </w:pPr>
            <w:r/>
            <w:r>
              <w:rPr>
                <w:rFonts w:ascii="仿宋_GB2312" w:hAnsi="仿宋_GB2312" w:eastAsia="仿宋_GB2312"/>
                <w:b w:val="0"/>
                <w:color w:val="000000"/>
                <w:sz w:val="32"/>
              </w:rPr>
              <w:t>济南市市中区山东数智产业园</w:t>
            </w:r>
          </w:p>
        </w:tc>
      </w:tr>
    </w:tbl>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项目采用"政企研+资本赋能"建设模式，由中科信控提供技术与策划支持，森远股份（算力业务全国总部）负责算力集群集成建设，中科智算（山东）公司负责运营。市中控股集团以国资出资参与并购与建设。</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市中区将中科（济南）超级云智算中心列为重点"十大产业"项目；2024年1月一期开工；2025年底一期1000P建成投用；2025年12月节能审查通过；未来规划全期4000P，并建设山东数智产业园，拟引进中科具身智能训练平台、中科融合算力网调度平台、金迪城市生命线监控平台等项目，构建"算力底座+应用平台+产业园区+企业集聚"生态，预计集聚20余家AI企业、带动相关产业营收5亿—10亿元。</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项目定位为市中区数字基础设施的智算底座，是山东数智产业园的核心算力设施。主营业务为智能算力租赁、大模型推理、云存储等算力服务，并承担区域人工智能产业生态招商与集聚功能。</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收入以算力租赁（按P计费）、大模型推理服务、云存储为主，并辅以产业园区运营与生态服务收入。采用"算力预消纳"模式，根据客户需求选型搭建服务器，避免算力闲置。</w:t>
      </w:r>
    </w:p>
    <w:p>
      <w:pPr>
        <w:spacing w:lineRule="exact" w:line="600" w:before="120" w:after="120"/>
        <w:ind w:firstLine="420"/>
        <w:jc w:val="left"/>
      </w:pPr>
      <w:r>
        <w:rPr>
          <w:rFonts w:ascii="楷体_GB2312" w:hAnsi="楷体_GB2312" w:eastAsia="楷体_GB2312"/>
          <w:b w:val="0"/>
          <w:color w:val="000000"/>
          <w:sz w:val="32"/>
        </w:rPr>
        <w:t>（二）主要产品/服务</w:t>
      </w:r>
    </w:p>
    <w:p>
      <w:pPr>
        <w:spacing w:lineRule="exact" w:line="600" w:before="0" w:after="0"/>
        <w:ind w:firstLine="420"/>
        <w:jc w:val="both"/>
      </w:pPr>
      <w:r>
        <w:rPr>
          <w:rFonts w:ascii="仿宋_GB2312" w:hAnsi="仿宋_GB2312" w:eastAsia="仿宋_GB2312"/>
          <w:b w:val="0"/>
          <w:color w:val="000000"/>
          <w:sz w:val="32"/>
        </w:rPr>
        <w:t>智能算力租赁（4000P规划，一期1000P）、大模型推理加速服务、云存储与数据服务、智算中心运维，以及面向具身智能训练、算力网调度的平台支撑。</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客户为人工智能相关企业、大模型厂商及需要算力的政企客户；首期1000P算力已基本实现预消纳，需求侧较有保障。</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核心采购为GPU服务器、网络设备、制冷与电力设施，依赖算力硬件供应链；中科信控提供技术支撑。</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项目按国家A级标准建设398个机柜，规划4000P智能算力；位于市中区山东数智产业园，享区域算力产业政策支持。</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以"算力预消纳"定向对接客户需求，结合园区招商与生态导入获客。</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项目公司为非上市企业，未公开披露营收与利润。公开披露2026年预计新增营收0.8亿元；全期4000P建成后有望带动相关产业营收5亿—10亿元。区域算力市场占有率随建设推进提升。</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ind w:firstLine="420"/>
        <w:jc w:val="both"/>
      </w:pPr>
      <w:r>
        <w:rPr>
          <w:rFonts w:ascii="仿宋_GB2312" w:hAnsi="仿宋_GB2312" w:eastAsia="仿宋_GB2312"/>
          <w:b w:val="0"/>
          <w:color w:val="000000"/>
          <w:sz w:val="32"/>
        </w:rPr>
        <w:t>中科智算（山东）信息科技发展有限公司为非上市项目公司，未公开披露经审计财务报表。以下列示项目公开投资与产能信息。</w:t>
      </w:r>
    </w:p>
    <w:tbl>
      <w:tblPr>
        <w:tblStyle w:val="TableGrid"/>
        <w:tblW w:type="auto" w:w="0"/>
        <w:jc w:val="center"/>
        <w:tblLook w:firstColumn="1" w:firstRow="1" w:lastColumn="0" w:lastRow="0" w:noHBand="0" w:noVBand="1" w:val="04A0"/>
      </w:tblPr>
      <w:tblGrid>
        <w:gridCol w:w="4422"/>
        <w:gridCol w:w="4422"/>
      </w:tblGrid>
      <w:tr>
        <w:tc>
          <w:tcPr>
            <w:tcW w:type="dxa" w:w="2551"/>
          </w:tcPr>
          <w:p>
            <w:pPr>
              <w:spacing w:lineRule="exact" w:line="600"/>
              <w:jc w:val="center"/>
            </w:pPr>
            <w:r/>
            <w:r>
              <w:rPr>
                <w:rFonts w:ascii="黑体" w:hAnsi="黑体" w:eastAsia="黑体"/>
                <w:b/>
                <w:color w:val="000000"/>
                <w:sz w:val="32"/>
              </w:rPr>
              <w:t>指标</w:t>
            </w:r>
          </w:p>
        </w:tc>
        <w:tc>
          <w:tcPr>
            <w:tcW w:type="dxa" w:w="6803"/>
          </w:tcPr>
          <w:p>
            <w:pPr>
              <w:spacing w:lineRule="exact" w:line="600"/>
              <w:jc w:val="center"/>
            </w:pPr>
            <w:r/>
            <w:r>
              <w:rPr>
                <w:rFonts w:ascii="黑体" w:hAnsi="黑体" w:eastAsia="黑体"/>
                <w:b/>
                <w:color w:val="000000"/>
                <w:sz w:val="32"/>
              </w:rPr>
              <w:t>可获信息</w:t>
            </w:r>
          </w:p>
        </w:tc>
      </w:tr>
      <w:tr>
        <w:tc>
          <w:tcPr>
            <w:tcW w:type="dxa" w:w="2551"/>
          </w:tcPr>
          <w:p>
            <w:pPr>
              <w:spacing w:lineRule="exact" w:line="600"/>
              <w:jc w:val="center"/>
            </w:pPr>
            <w:r/>
            <w:r>
              <w:rPr>
                <w:rFonts w:ascii="仿宋_GB2312" w:hAnsi="仿宋_GB2312" w:eastAsia="仿宋_GB2312"/>
                <w:b w:val="0"/>
                <w:color w:val="000000"/>
                <w:sz w:val="32"/>
              </w:rPr>
              <w:t>项目总投资</w:t>
            </w:r>
          </w:p>
        </w:tc>
        <w:tc>
          <w:tcPr>
            <w:tcW w:type="dxa" w:w="6803"/>
          </w:tcPr>
          <w:p>
            <w:pPr>
              <w:spacing w:lineRule="exact" w:line="600"/>
              <w:jc w:val="center"/>
            </w:pPr>
            <w:r/>
            <w:r>
              <w:rPr>
                <w:rFonts w:ascii="仿宋_GB2312" w:hAnsi="仿宋_GB2312" w:eastAsia="仿宋_GB2312"/>
                <w:b w:val="0"/>
                <w:color w:val="000000"/>
                <w:sz w:val="32"/>
              </w:rPr>
              <w:t>11.4亿元</w:t>
            </w:r>
          </w:p>
        </w:tc>
      </w:tr>
      <w:tr>
        <w:tc>
          <w:tcPr>
            <w:tcW w:type="dxa" w:w="2551"/>
          </w:tcPr>
          <w:p>
            <w:pPr>
              <w:spacing w:lineRule="exact" w:line="600"/>
              <w:jc w:val="center"/>
            </w:pPr>
            <w:r/>
            <w:r>
              <w:rPr>
                <w:rFonts w:ascii="仿宋_GB2312" w:hAnsi="仿宋_GB2312" w:eastAsia="仿宋_GB2312"/>
                <w:b w:val="0"/>
                <w:color w:val="000000"/>
                <w:sz w:val="32"/>
              </w:rPr>
              <w:t>规划算力</w:t>
            </w:r>
          </w:p>
        </w:tc>
        <w:tc>
          <w:tcPr>
            <w:tcW w:type="dxa" w:w="6803"/>
          </w:tcPr>
          <w:p>
            <w:pPr>
              <w:spacing w:lineRule="exact" w:line="600"/>
              <w:jc w:val="center"/>
            </w:pPr>
            <w:r/>
            <w:r>
              <w:rPr>
                <w:rFonts w:ascii="仿宋_GB2312" w:hAnsi="仿宋_GB2312" w:eastAsia="仿宋_GB2312"/>
                <w:b w:val="0"/>
                <w:color w:val="000000"/>
                <w:sz w:val="32"/>
              </w:rPr>
              <w:t>4000P（一期1000P投用）</w:t>
            </w:r>
          </w:p>
        </w:tc>
      </w:tr>
      <w:tr>
        <w:tc>
          <w:tcPr>
            <w:tcW w:type="dxa" w:w="2551"/>
          </w:tcPr>
          <w:p>
            <w:pPr>
              <w:spacing w:lineRule="exact" w:line="600"/>
              <w:jc w:val="center"/>
            </w:pPr>
            <w:r/>
            <w:r>
              <w:rPr>
                <w:rFonts w:ascii="仿宋_GB2312" w:hAnsi="仿宋_GB2312" w:eastAsia="仿宋_GB2312"/>
                <w:b w:val="0"/>
                <w:color w:val="000000"/>
                <w:sz w:val="32"/>
              </w:rPr>
              <w:t>2026预计新增营收</w:t>
            </w:r>
          </w:p>
        </w:tc>
        <w:tc>
          <w:tcPr>
            <w:tcW w:type="dxa" w:w="6803"/>
          </w:tcPr>
          <w:p>
            <w:pPr>
              <w:spacing w:lineRule="exact" w:line="600"/>
              <w:jc w:val="center"/>
            </w:pPr>
            <w:r/>
            <w:r>
              <w:rPr>
                <w:rFonts w:ascii="仿宋_GB2312" w:hAnsi="仿宋_GB2312" w:eastAsia="仿宋_GB2312"/>
                <w:b w:val="0"/>
                <w:color w:val="000000"/>
                <w:sz w:val="32"/>
              </w:rPr>
              <w:t>约0.8亿元（公开披露）</w:t>
            </w:r>
          </w:p>
        </w:tc>
      </w:tr>
      <w:tr>
        <w:tc>
          <w:tcPr>
            <w:tcW w:type="dxa" w:w="2551"/>
          </w:tcPr>
          <w:p>
            <w:pPr>
              <w:spacing w:lineRule="exact" w:line="600"/>
              <w:jc w:val="center"/>
            </w:pPr>
            <w:r/>
            <w:r>
              <w:rPr>
                <w:rFonts w:ascii="仿宋_GB2312" w:hAnsi="仿宋_GB2312" w:eastAsia="仿宋_GB2312"/>
                <w:b w:val="0"/>
                <w:color w:val="000000"/>
                <w:sz w:val="32"/>
              </w:rPr>
              <w:t>审计财报</w:t>
            </w:r>
          </w:p>
        </w:tc>
        <w:tc>
          <w:tcPr>
            <w:tcW w:type="dxa" w:w="6803"/>
          </w:tcPr>
          <w:p>
            <w:pPr>
              <w:spacing w:lineRule="exact" w:line="600"/>
              <w:jc w:val="center"/>
            </w:pPr>
            <w:r/>
            <w:r>
              <w:rPr>
                <w:rFonts w:ascii="仿宋_GB2312" w:hAnsi="仿宋_GB2312" w:eastAsia="仿宋_GB2312"/>
                <w:b w:val="0"/>
                <w:color w:val="000000"/>
                <w:sz w:val="32"/>
              </w:rPr>
              <w:t>未公开披露</w:t>
            </w:r>
          </w:p>
        </w:tc>
      </w:tr>
    </w:tbl>
    <w:p>
      <w:pPr>
        <w:spacing w:lineRule="exact" w:line="600" w:before="120" w:after="120"/>
        <w:ind w:firstLine="420"/>
        <w:jc w:val="left"/>
      </w:pPr>
      <w:r>
        <w:rPr>
          <w:rFonts w:ascii="楷体_GB2312" w:hAnsi="楷体_GB2312" w:eastAsia="楷体_GB2312"/>
          <w:b w:val="0"/>
          <w:color w:val="000000"/>
          <w:sz w:val="32"/>
        </w:rPr>
        <w:t>（二）—（六）分析</w:t>
      </w:r>
    </w:p>
    <w:p>
      <w:pPr>
        <w:spacing w:lineRule="exact" w:line="600" w:before="0" w:after="0"/>
        <w:ind w:firstLine="420"/>
        <w:jc w:val="both"/>
      </w:pPr>
      <w:r>
        <w:rPr>
          <w:rFonts w:ascii="仿宋_GB2312" w:hAnsi="仿宋_GB2312" w:eastAsia="仿宋_GB2312"/>
          <w:b w:val="0"/>
          <w:color w:val="000000"/>
          <w:sz w:val="32"/>
        </w:rPr>
        <w:t>因缺乏公开财务数据，无法量化盈利、资产、负债与现金流。项目为重资产算力基础设施，前期折旧与资本开支大，依赖"算力预消纳"与"算力+股权收益"双模式平衡投入；与森远股份资本运作绑定，财务结构相对复杂。在市中区并与山东未来云谷智算中心、科大讯飞协同，构成区域算力矩阵。</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项目公司由中科信控与市中控股等国资背景股东共同治理，依托森远股份上市平台规范运作。</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管理层由中科信控与并购后森远股份团队构成，具算力集成与资本运作经验。</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依托上市企业内控体系与国资监管要求，治理相对规范。</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以算力运维、集成与技术团队为主，具体人数未公开。</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技术与资本双轮：中科院中科信控技术背书+上市公司森远股份资本平台。</w:t>
      </w:r>
    </w:p>
    <w:p>
      <w:pPr>
        <w:spacing w:lineRule="exact" w:line="600" w:before="0" w:after="0"/>
        <w:ind w:firstLine="420"/>
        <w:jc w:val="both"/>
      </w:pPr>
      <w:r>
        <w:rPr>
          <w:rFonts w:ascii="仿宋_GB2312" w:hAnsi="仿宋_GB2312" w:eastAsia="仿宋_GB2312"/>
          <w:b w:val="0"/>
          <w:color w:val="000000"/>
          <w:sz w:val="32"/>
        </w:rPr>
        <w:t>模式创新："算力预消纳""算力+股权收益"降低闲置与投资风险。</w:t>
      </w:r>
    </w:p>
    <w:p>
      <w:pPr>
        <w:spacing w:lineRule="exact" w:line="600" w:before="0" w:after="0"/>
        <w:ind w:firstLine="420"/>
        <w:jc w:val="both"/>
      </w:pPr>
      <w:r>
        <w:rPr>
          <w:rFonts w:ascii="仿宋_GB2312" w:hAnsi="仿宋_GB2312" w:eastAsia="仿宋_GB2312"/>
          <w:b w:val="0"/>
          <w:color w:val="000000"/>
          <w:sz w:val="32"/>
        </w:rPr>
        <w:t>政策与区位：市中区算力招商重点，山东数智产业园承载，政策与场景资源优。</w:t>
      </w:r>
    </w:p>
    <w:p>
      <w:pPr>
        <w:spacing w:lineRule="exact" w:line="600" w:before="0" w:after="0"/>
        <w:ind w:firstLine="420"/>
        <w:jc w:val="both"/>
      </w:pPr>
      <w:r>
        <w:rPr>
          <w:rFonts w:ascii="仿宋_GB2312" w:hAnsi="仿宋_GB2312" w:eastAsia="仿宋_GB2312"/>
          <w:b w:val="0"/>
          <w:color w:val="000000"/>
          <w:sz w:val="32"/>
        </w:rPr>
        <w:t>生态协同：与科大讯飞、山东未来集团等形成算力—算法—网络协同。</w:t>
      </w:r>
    </w:p>
    <w:p>
      <w:pPr>
        <w:spacing w:lineRule="exact" w:line="600" w:before="120" w:after="120"/>
        <w:ind w:firstLine="420"/>
        <w:jc w:val="left"/>
      </w:pPr>
      <w:r>
        <w:rPr>
          <w:rFonts w:ascii="黑体" w:hAnsi="黑体" w:eastAsia="黑体"/>
          <w:b w:val="0"/>
          <w:color w:val="000000"/>
          <w:sz w:val="32"/>
        </w:rPr>
        <w:t>六、风险分析</w:t>
      </w:r>
    </w:p>
    <w:p>
      <w:pPr>
        <w:spacing w:lineRule="exact" w:line="600" w:before="120" w:after="120"/>
        <w:ind w:firstLine="420"/>
        <w:jc w:val="left"/>
      </w:pPr>
      <w:r>
        <w:rPr>
          <w:rFonts w:ascii="楷体_GB2312" w:hAnsi="楷体_GB2312" w:eastAsia="楷体_GB2312"/>
          <w:b w:val="0"/>
          <w:color w:val="000000"/>
          <w:sz w:val="32"/>
        </w:rPr>
        <w:t>（一）行业风险</w:t>
      </w:r>
    </w:p>
    <w:p>
      <w:pPr>
        <w:spacing w:lineRule="exact" w:line="600" w:before="0" w:after="0"/>
        <w:ind w:firstLine="420"/>
        <w:jc w:val="both"/>
      </w:pPr>
      <w:r>
        <w:rPr>
          <w:rFonts w:ascii="仿宋_GB2312" w:hAnsi="仿宋_GB2312" w:eastAsia="仿宋_GB2312"/>
          <w:b w:val="0"/>
          <w:color w:val="000000"/>
          <w:sz w:val="32"/>
        </w:rPr>
        <w:t>算力行业产能快速扩张，存在阶段性过剩与价格下行风险；AI需求波动影响上架率。</w:t>
      </w:r>
    </w:p>
    <w:p>
      <w:pPr>
        <w:spacing w:lineRule="exact" w:line="600" w:before="120" w:after="120"/>
        <w:ind w:firstLine="420"/>
        <w:jc w:val="left"/>
      </w:pPr>
      <w:r>
        <w:rPr>
          <w:rFonts w:ascii="楷体_GB2312" w:hAnsi="楷体_GB2312" w:eastAsia="楷体_GB2312"/>
          <w:b w:val="0"/>
          <w:color w:val="000000"/>
          <w:sz w:val="32"/>
        </w:rPr>
        <w:t>（二）经营风险</w:t>
      </w:r>
    </w:p>
    <w:p>
      <w:pPr>
        <w:spacing w:lineRule="exact" w:line="600" w:before="0" w:after="0"/>
        <w:ind w:firstLine="420"/>
        <w:jc w:val="both"/>
      </w:pPr>
      <w:r>
        <w:rPr>
          <w:rFonts w:ascii="仿宋_GB2312" w:hAnsi="仿宋_GB2312" w:eastAsia="仿宋_GB2312"/>
          <w:b w:val="0"/>
          <w:color w:val="000000"/>
          <w:sz w:val="32"/>
        </w:rPr>
        <w:t>重资产、高折旧，若算力消纳不及预期将拖累回报；与森远股份资本运作绑定带来复杂性。</w:t>
      </w:r>
    </w:p>
    <w:p>
      <w:pPr>
        <w:spacing w:lineRule="exact" w:line="600" w:before="120" w:after="120"/>
        <w:ind w:firstLine="420"/>
        <w:jc w:val="left"/>
      </w:pPr>
      <w:r>
        <w:rPr>
          <w:rFonts w:ascii="楷体_GB2312" w:hAnsi="楷体_GB2312" w:eastAsia="楷体_GB2312"/>
          <w:b w:val="0"/>
          <w:color w:val="000000"/>
          <w:sz w:val="32"/>
        </w:rPr>
        <w:t>（三）财务风险</w:t>
      </w:r>
    </w:p>
    <w:p>
      <w:pPr>
        <w:spacing w:lineRule="exact" w:line="600" w:before="0" w:after="0"/>
        <w:ind w:firstLine="420"/>
        <w:jc w:val="both"/>
      </w:pPr>
      <w:r>
        <w:rPr>
          <w:rFonts w:ascii="仿宋_GB2312" w:hAnsi="仿宋_GB2312" w:eastAsia="仿宋_GB2312"/>
          <w:b w:val="0"/>
          <w:color w:val="000000"/>
          <w:sz w:val="32"/>
        </w:rPr>
        <w:t>财务未公开；高资本开支与并购杠杆需关注偿债与现金流。</w:t>
      </w:r>
    </w:p>
    <w:p>
      <w:pPr>
        <w:spacing w:lineRule="exact" w:line="600" w:before="120" w:after="120"/>
        <w:ind w:firstLine="420"/>
        <w:jc w:val="left"/>
      </w:pPr>
      <w:r>
        <w:rPr>
          <w:rFonts w:ascii="楷体_GB2312" w:hAnsi="楷体_GB2312" w:eastAsia="楷体_GB2312"/>
          <w:b w:val="0"/>
          <w:color w:val="000000"/>
          <w:sz w:val="32"/>
        </w:rPr>
        <w:t>（四）合规风险</w:t>
      </w:r>
    </w:p>
    <w:p>
      <w:pPr>
        <w:spacing w:lineRule="exact" w:line="600" w:before="0" w:after="0"/>
        <w:ind w:firstLine="420"/>
        <w:jc w:val="both"/>
      </w:pPr>
      <w:r>
        <w:rPr>
          <w:rFonts w:ascii="仿宋_GB2312" w:hAnsi="仿宋_GB2312" w:eastAsia="仿宋_GB2312"/>
          <w:b w:val="0"/>
          <w:color w:val="000000"/>
          <w:sz w:val="32"/>
        </w:rPr>
        <w:t>数据中心能耗与节能审查监管趋严（已通过节能审查）；需持续满足A级标准与绿色算力要求。</w:t>
      </w:r>
    </w:p>
    <w:p>
      <w:pPr>
        <w:spacing w:lineRule="exact" w:line="600" w:before="120" w:after="120"/>
        <w:ind w:firstLine="420"/>
        <w:jc w:val="left"/>
      </w:pPr>
      <w:r>
        <w:rPr>
          <w:rFonts w:ascii="楷体_GB2312" w:hAnsi="楷体_GB2312" w:eastAsia="楷体_GB2312"/>
          <w:b w:val="0"/>
          <w:color w:val="000000"/>
          <w:sz w:val="32"/>
        </w:rPr>
        <w:t>（五）应对措施</w:t>
      </w:r>
    </w:p>
    <w:p>
      <w:pPr>
        <w:spacing w:lineRule="exact" w:line="600" w:before="0" w:after="0"/>
        <w:ind w:firstLine="420"/>
        <w:jc w:val="both"/>
      </w:pPr>
      <w:r>
        <w:rPr>
          <w:rFonts w:ascii="仿宋_GB2312" w:hAnsi="仿宋_GB2312" w:eastAsia="仿宋_GB2312"/>
          <w:b w:val="0"/>
          <w:color w:val="000000"/>
          <w:sz w:val="32"/>
        </w:rPr>
        <w:t>坚持"算力预消纳"精准建设；强化与下游AI客户绑定；优化资本结构；落实绿色节能运营。</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保理业务：算力服务应收账款可开展保理，改善现金流。</w:t>
      </w:r>
    </w:p>
    <w:p>
      <w:pPr>
        <w:spacing w:lineRule="exact" w:line="600" w:before="0" w:after="0"/>
        <w:ind w:firstLine="420"/>
        <w:jc w:val="both"/>
      </w:pPr>
      <w:r>
        <w:rPr>
          <w:rFonts w:ascii="仿宋_GB2312" w:hAnsi="仿宋_GB2312" w:eastAsia="仿宋_GB2312"/>
          <w:b w:val="0"/>
          <w:color w:val="000000"/>
          <w:sz w:val="32"/>
        </w:rPr>
        <w:t>供应链金融：为GPU服务器、制冷设备等上游供应商提供供应链金融服务。</w:t>
      </w:r>
    </w:p>
    <w:p>
      <w:pPr>
        <w:spacing w:lineRule="exact" w:line="600" w:before="0" w:after="0"/>
        <w:ind w:firstLine="420"/>
        <w:jc w:val="both"/>
      </w:pPr>
      <w:r>
        <w:rPr>
          <w:rFonts w:ascii="仿宋_GB2312" w:hAnsi="仿宋_GB2312" w:eastAsia="仿宋_GB2312"/>
          <w:b w:val="0"/>
          <w:color w:val="000000"/>
          <w:sz w:val="32"/>
        </w:rPr>
        <w:t>融资租赁：服务器、数据中心设备等重资产可通过融资租赁优化资本结构（需求突出）。</w:t>
      </w:r>
    </w:p>
    <w:p>
      <w:pPr>
        <w:spacing w:lineRule="exact" w:line="600" w:before="0" w:after="0"/>
        <w:ind w:firstLine="420"/>
        <w:jc w:val="both"/>
      </w:pPr>
      <w:r>
        <w:rPr>
          <w:rFonts w:ascii="仿宋_GB2312" w:hAnsi="仿宋_GB2312" w:eastAsia="仿宋_GB2312"/>
          <w:b w:val="0"/>
          <w:color w:val="000000"/>
          <w:sz w:val="32"/>
        </w:rPr>
        <w:t>小额贷款：为园区内中小AI企业提供周转支持，培育生态。</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综合评价：中科（济南）超级云智算中心是市中区数字基础设施的关键算力底座，依托中科院技术与森远股份资本平台，采用"算力预消纳"创新模式，区域战略价值高。</w:t>
      </w:r>
    </w:p>
    <w:p>
      <w:pPr>
        <w:spacing w:lineRule="exact" w:line="600" w:before="0" w:after="0"/>
        <w:ind w:firstLine="420"/>
        <w:jc w:val="both"/>
      </w:pPr>
      <w:r>
        <w:rPr>
          <w:rFonts w:ascii="仿宋_GB2312" w:hAnsi="仿宋_GB2312" w:eastAsia="仿宋_GB2312"/>
          <w:b w:val="0"/>
          <w:color w:val="000000"/>
          <w:sz w:val="32"/>
        </w:rPr>
        <w:t>发展展望：全期4000P算力有望成为山东重要智算节点，并带动山东数智产业园集聚20余家AI企业。据公开规划，相关产业营收可达5亿—10亿元。</w:t>
      </w:r>
    </w:p>
    <w:p>
      <w:pPr>
        <w:spacing w:lineRule="exact" w:line="600" w:before="0" w:after="0"/>
        <w:ind w:firstLine="420"/>
        <w:jc w:val="both"/>
      </w:pPr>
      <w:r>
        <w:rPr>
          <w:rFonts w:ascii="仿宋_GB2312" w:hAnsi="仿宋_GB2312" w:eastAsia="仿宋_GB2312"/>
          <w:b w:val="0"/>
          <w:color w:val="000000"/>
          <w:sz w:val="32"/>
        </w:rPr>
        <w:t>挑战：算力行业同质化与过剩风险、重资产回报周期、资本运作复杂性。</w:t>
      </w:r>
    </w:p>
    <w:p>
      <w:pPr>
        <w:spacing w:lineRule="exact" w:line="600" w:before="0" w:after="0"/>
        <w:ind w:firstLine="420"/>
        <w:jc w:val="both"/>
      </w:pPr>
      <w:r>
        <w:rPr>
          <w:rFonts w:ascii="仿宋_GB2312" w:hAnsi="仿宋_GB2312" w:eastAsia="仿宋_GB2312"/>
          <w:b w:val="0"/>
          <w:color w:val="000000"/>
          <w:sz w:val="32"/>
        </w:rPr>
        <w:t>建议：一是以预消纳稳上架率；二是规范项目公司财务披露；三是深化与山东投资在融资租赁、供应链金融领域合作；四是强化绿色节能与差异化（如具身智能训练）定位。</w:t>
      </w:r>
    </w:p>
    <w:p>
      <w:pPr>
        <w:spacing w:lineRule="exact" w:line="600" w:before="0" w:after="0"/>
        <w:jc w:val="left"/>
      </w:pPr>
      <w:r>
        <w:rPr>
          <w:rFonts w:ascii="仿宋_GB2312" w:hAnsi="仿宋_GB2312" w:eastAsia="仿宋_GB2312"/>
          <w:b w:val="0"/>
          <w:color w:val="000000"/>
          <w:sz w:val="28"/>
        </w:rPr>
        <w:t>数据来源说明：本报告数据来源于市中区政府网（shizhong.gov.cn）、今日头条、新黄河、爱企查等公开渠道。项目运营主体为中科智算（山东）信息科技发展有限公司，财务数据未公开披露，已如实标注。</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