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山东济南市中（数字经济）特色产业集群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科大讯飞山东/济南公司企业分析报告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注：批次所列"科大讯飞山东/济南公司"在济南市中区的实体运营主体为"泉讯人工智能(山东)有限公司"，由科大讯飞股份有限公司全资控股。本报告以批次名称为标题，正文据实标注运营主体。数据来源于济南市工信局、市中区政府网、齐鲁网、腾讯新闻及公开报道，统计时点截至2025年最新披露信息。该公司为非上市企业全资子公司，未单独披露经审计财务报表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泉讯人工智能（山东）有限公司成立于2023年9月，由科大讯飞股份有限公司（深交所002230，人工智能头部上市企业）全资控股，是科大讯飞在济南市中区的落地运营主体，亦对应本批次"科大讯飞山东/济南公司"。公司法定代表人为孟庆勇，注册资本5000万元人民币，注册地址位于山东省济南市市中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清晰：科大讯飞股份有限公司持股100%，为唯一股东及实际控制人。公司作为科大讯飞区域布局的重要支点，承载其在山东的人工智能算力、智慧教育、智慧城市等业务。2023年8月，科大讯飞与济南市中区政府签署战略合作协议，明确了在市中区布局人工智能产业的合作框架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运营主体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泉讯人工智能（山东）有限公司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成立日期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2023年9月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5000万元人民币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科大讯飞股份有限公司（002230，100%）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孟庆勇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山东省济南市市中区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经营范围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人工智能基础资源与技术平台、人工智能应用软件开发、人工智能理论与算法软件开发、数据处理服务等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科大讯飞全资子公司，纳入科大讯飞集团一体化管理体系，依托集团在语音识别、认知智能、大模型等领域的技术中台与研发体系开展本地化运营。在济南主要承担智算中心建设协同、人工智能教育主题园区运营及行业应用落地等职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大讯飞较早布局山东：2019年在青岛西海岸新区成立全资子公司山东科讯信息科技有限公司（山东及日韩总部，总投资20亿元）；2023年8月与济南市中区签约，9月设立泉讯人工智能（山东）有限公司；此后在市中区参与山东未来云谷智算中心建设（一期与科大讯飞合作规划算力规模100P，PUE&lt;1.3），并启动建设6000平方米人工智能教育主题园区。此外在泰安肥城布局"科大讯飞智汇谷"（总投资10亿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为科大讯飞在山东的人工智能区域运营与创新应用平台，是市中区数字经济特色产业集群的链主企业之一。主营业务涵盖人工智能基础资源与技术平台、AI应用软件开发、算法软件、数据处理，并延伸至智算中心运营、智慧教育、智慧城市等场景，助力市中区打造"人工智能应用全国示范区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业务以AI技术平台与行业应用为主，在济南重点围绕智算基础设施（与未来云谷协同）、人工智能教育、智慧城市三类场景展开，收入主要来源于技术服务、软件与平台运营、智算相关合作。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核心依托科大讯飞技术体系：讯飞星火大模型及行业解决方案、智能语音与认知智能平台、智慧教育产品（AI教育主题园区）、智慧城市与政务服务应用、智算中心协同运营（通用大模型平台部署）。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客户以政府（市中区等）、教育机构、行业企业为主；在山东还与字节跳动旗下火山引擎等头部企业在数据标注、行业应用方面存在生态协同。作为链主企业，亦承担产业集群牵引角色。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算力基础设施依赖服务器、GPU等硬件采购及IDC资源；技术底座来自科大讯飞集团统一研发体系，本地以应用落地与运营为主。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在市中区参与建设山东未来云谷智算中心（一期规划100P算力，PUE&lt;1.3），并布局6000平方米AI教育主题园区；依托科大讯飞集团研发与品牌资源，具备较强技术与生态壁垒。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采用"集团技术中台+区域运营"模式，面向政府与行业客户直销，并依托生态合作伙伴拓展应用场景。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泉讯人工智能（山东）有限公司为2023年新设企业，未单独披露营业收入与利润。其母公司科大讯飞股份2025年前三季度实现营收148.5亿元、同比增长17.73%（但净利润-3.44亿元，受大模型投入影响）；山东区域为集团重要增长极之一，具体市占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泉讯人工智能（山东）有限公司为非上市企业全资子公司，2023年9月设立，未单独披露经审计年度财务报表。以下列示母公司科大讯飞股份（002230）公开财务数据作为集团参考（非本地实体数据）。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主体/期间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营收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净利润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备注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科大讯飞股份2025前三季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148.5亿元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-3.44亿元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同比营收+17.73%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泉讯山东(本地实体)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未单独披露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未披露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2023年9月新设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科大讯飞集团处于大模型高投入期，短期盈利承压；但营收保持双位数增长，AI应用规模化趋势明确。本地实体尚处建设投入期，盈亏数据未公开。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科大讯飞股份为A股上市公司，资产以技术、现金及应收账款为主，整体资产质量较好。本地实体注册资本5000万元，资产规模处于起步阶段。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集团层面偿债指标稳健；本地新设实体负债有限。具体数据未公开。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科大讯飞经营现金流受应收账款与研发投入影响；本地实体现金流数据未公开。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在市中区数字经济集群中，与山东未来集团（确定性网络）、中科智算（算力中心）形成"算法—网络—算力"互补生态；科大讯飞以AI算法与应用见长，是集群的人工智能链主。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全资子公司治理，纳入科大讯飞集团一体化管控，决策高效。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法定代表人孟庆勇；整体依托科大讯飞集团管理层与山东区域团队。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遵循科大讯飞集团内控与信息安全体系，研发与项目交付流程规范。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依托集团在济南的研发与运营团队，并借力市中区人才政策引才；具体人数未公开。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技术与品牌壁垒：科大讯飞在智能语音、认知智能、大模型领域国内领先，星火大模型构成核心壁垒。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生态与链主地位：作为市中区AI链主，牵头山东未来云谷智算中心等重大项目，生态资源强。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政策协同：与市中区战略协议绑定，享受区域数字经济政策与场景资源。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集团中台支撑：研发、算力、解决方案全栈由集团赋能，落地效率高。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AI大模型行业竞争激烈、技术迭代快，且面临算力成本高、商业化落地节奏不确定等挑战。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本地实体尚处投入期，盈利兑现需时间；对集团资源与区域政策依赖度较高。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本地实体财务未公开；集团短期盈利承压，需关注持续投入对现金流的影响。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AI数据合规、算法备案、信息安全监管趋严，需持续满足合规要求。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聚焦教育、政务等优势场景加速商业化；深化与区域智算基础设施协同降本；强化数据合规与信息安全体系。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保理业务：面向政府及行业客户的应收账款可开展保理，改善周转。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供应链金融：以科大讯飞为链主，为上下游AI软硬件供应商提供供应链金融服务。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融资租赁：智算中心服务器、GPU等重资产可通过融资租赁优化资本结构。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小额贷款：为本地生态中小合作伙伴提供阶段性周转支持。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科大讯飞山东/济南公司（泉讯人工智能）是市中区数字经济集群的人工智能链主，依托科大讯飞集团技术品牌与市中区战略协同，在智算、智慧教育、智慧城市领域具备较强引领力，是区域AI应用示范的核心载体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发展展望：随着山东未来云谷智算中心、AI教育主题园区建成，以及大模型在行业渗透加速，公司有望进入收入放量期。据区域规划，未来云谷全面入驻后年均营收可超60亿元（含入驻企业）。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挑战：大模型投入大、盈利周期长；本地商业化与生态培育需时；行业竞争加剧。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建议：一是加快优势场景商业化兑现；二是深化与山东未来集团（确定性网络）、中科智算（算力）的算网协同；三是规范本地实体财务披露，探索与山东投资在融资租赁、供应链金融领域的合作。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济南市工业和信息化局（jnjxw.jinan.gov.cn）、市中区政府网（shizhong.gov.cn）、齐鲁网（ql1d.com）、腾讯新闻及公开报道。本地实体为泉讯人工智能（山东）有限公司，财务数据未单独披露，集团数据引自科大讯飞股份公开财报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