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山东济南章丘区(医药及防护用品)特色产业集群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科兴生物制药股份有限公司企业分析报告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2022—2024年年度报告、2024年向港交所递交的招股书、上交所及巨潮网公告、天眼查/企查查工商信息、公司官网及中国证券报/上海证券报/证券时报等公开披露渠道，统计时点截至2024年年度报告及2025年半年度公开信息。部分前瞻性陈述不构成实质业绩承诺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兴生物制药股份有限公司（证券简称：科兴制药，证券代码：688136.SH）成立于1997年8月22日，前身为山东科兴生物制品有限公司；2019年7月以经审计净资产折股整体变更设立股份公司；2020年12月14日于上海证券交易所科创板挂牌上市，发行新股4,967.53万股，发行价22.33元/股，保荐机构（主承销商）为中信建投证券，募集资金净额约9.95亿元。公司法定代表人为邓学勤，注册资本约20,198.50万元（约2.02亿元），统一社会信用代码91370181613243451M，注册地址为山东省济南市章丘区埠村街道创业路2666号，办公地址位于山东省济南市章丘区埠村街道创业路2666号及深圳市南山区创益科技大厦。企业类型为其他股份有限公司（上市），所属行业为医药制造业（生物药品制造），登记机关为济南市章丘区市场监督管理局，登记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经营范围为：生物制品、化学药、原料药、中药（不含危险化学品）的研发、生产及销售；药品委托或受托生产及销售；药品技术研发、转让及咨询服务；货物进出口、技术进出口；自有房屋租赁等。公司主业聚焦重组蛋白药物和微生态制剂的研发、生产、销售一体化，是一家创新型国际化生物制药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控股股东为深圳科益医药控股有限公司，持有公司股份约49.50%（截至2026年一季报，持股9,962.58万股）。公司实际控制人为自然人邓学勤，其通过深圳科益医药控股有限公司及一致行动人（青岛恒益/青岛裕早等员工持股平台）对上市公司形成控制，并间接控制于深圳正中投资集团有限公司（房地产背景）。其他主要股东包括汇安基金—华能信托·悦盈18号单一资金信托（约2.32%）、邓学勤个人（约0.88%）、香港中央结算有限公司（约0.76%）等。截至2026年一季报，公司前十大股东合计持股占比约56.48%，股权结构相对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兴制药为控股型上市平台，旗下拥有多家全资子公司与重要经营主体。主要子公司包括：深圳同安医药有限公司（负责国内营销与学术推广）、深圳科兴药业有限公司（负责研发与生产）、深圳科兴动保生物科技有限公司（控股子公司，布局动物保健板块）等。公司总部职能位于深圳南山创益科技大厦，研发与生产基地位于山东章丘。公司已构建“创新研发+海内外商业化”一体化的业务平台，业务板块可划分为自有已商业化产品（重组蛋白药物、微生态制剂）、研发管线产品及引进产品三大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山东科兴生物制品有限公司成立于1997年；2017年成为正中产业控股集团有限公司全资子公司；2018年进行股权调整，引入深圳恒健、深圳裕早等持股平台；2019年7月整体变更为股份公司；2020年12月登陆科创板。上市以来，公司坚定加大研发投入，推进多个生物药研发项目进入临床阶段，并战略性布局海外商业化。2024年11月，公司正式向香港联交所递交招股书，拟实现“A+H”两地上市，独家保荐人为中信建投国际。报告期内，公司曾于2023年筹划向特定对象发行A股募资不超过约5.72亿元，后于2024年4月终止该定增事项，并提请股东大会授权董事会以简易程序择机发行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高品质生物药领导者”，专注重组蛋白、抗体及靶向递送疗法的研发、生产与商业化，聚焦抗病毒、肿瘤与免疫、血液、消化、退行性疾病等治疗领域。公司核心商业化产品包括：重组人促红素注射液（依普定）、注射用重组人干扰素α1b（赛若金）、重组人粒细胞刺激因子注射液（白特喜）、酪酸梭菌二联活菌散/胶囊（常乐康），并引进英夫利西单抗（类停）、白蛋白紫杉醇（Apexelsin）等产品，形成“自有+引进”梯队化产品矩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高度集中于四大核心品种。2023年，依普定（人促红素）实现收入6.08亿元（占营业收入48.30%），赛若金（人干扰素α1b）收入3.11亿元（占24.67%），白特喜（人粒细胞刺激因子）收入1.46亿元（占11.60%），微生态制剂常乐康等贡献剩余收入。2022年、2023年、2024年营业收入分别为13.16亿元、12.59亿元、14.07亿元，其中2023年受部分产品区域集采、价格调整影响同比略降4.32%，2024年恢复增长11.75%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治疗领域划分，公司业务覆盖血液（贫血治疗）、抗病毒（干扰素）、肿瘤支持治疗（升白）、消化（微生态）等。按产品生命周期划分，依普定、赛若金为成熟放量品种，白特喜、常乐康稳步增长，引进品种类停、白蛋白紫杉醇处于放量爬坡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依普定（重组人促红素注射液，CHO细胞）：用于肾性贫血、肿瘤相关性贫血等，是国家基本药物目录、国家医保目录（乙类）品种，国内首批立项研发、第一批获新药证书和正式批准文号的促红素产品，首家采用预充式注射器且不含人血白蛋白，出口巴西、菲律宾、印尼等全球30余个国家。2024年按销售额计占中国人促红素市场约16.7%，自2021年起连续四年位列第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赛若金（注射用重组人干扰素α1b）：采用中国人基因克隆和表达的α1b型干扰素，国家基药、医保乙类品种，广谱抗病毒、抗肿瘤、免疫调节，源自1993年国家科技进步一等奖产业化成果。按2024年销售额计占中国短效人干扰素α1b市场约55.2%，自2019年起连续六年排名第一。在研管线GB05人干扰素α1b吸入溶液被纳入“突破性治疗品种名单”，儿童RSV适应症临床III期推进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白特喜（重组人粒细胞刺激因子注射液）：预防和治疗中性粒细胞减少症的临床一线用药，临床应用20余年。4. 常乐康（酪酸梭菌二联活菌散/胶囊）：老幼孕产妇均可使用的独家益生菌产品，具免疫调节作用。5. 引进品种：英夫利西单抗（类停，国内英夫利西单抗市场第二）、白蛋白紫杉醇（Apexelsin，已在欧盟、英国等地上市）。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销售以经销模式为主（国内），直销模式为辅（海外）。2022年经销收入11.89亿元（同比-3.36%），直销收入1.11亿元（同比+103.53%）；境外销售收入1.61亿元（同比+61.45%），主要来自巴西、墨西哥等市场对肾病及抗肿瘤药物的政府招标采购恢复。前五大客户结构稳定，未发生重大变化。国内覆盖各级医院终端，海外已构建覆盖约70个国家和地区的商业化营销网络，累计在海外提交注册申请超过150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生产所需原料主要为发酵培养基、纯化填料、包材（预充式注射器、瓶塞、铝盖）及化学原料药等。2022年公司基于供应链安全与产能爬坡进行战略备货，导致购买商品、接受劳务支付的现金有所增加。公司已在山东章丘基地形成从原液到制剂的一体化生产能力，关键物料通过合格供应商名录管理，采购集中度相对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章丘拥有生物药生产基地，主要产品产线近年产能利用率多在70%以上（常乐康产线因新增产能处爬坡期利用率低于50%）。公司持有《药品生产许可证》，主要车间通过GMP符合性检查；深圳原有干扰素、克癀胶囊产线已转移至山东并通过注册核查与GMP检查；新建白蛋白紫杉醇产线、重组人生长激素中试车间。公司重视产能前瞻性布局，固定资产由2021年末约4.53亿元增至2024年末约（对应总资产31.62亿元中固定资产比重上升），以匹配中长期市场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市场方面，公司依托遍布全国的经销商与学术推广体系覆盖三级、二级医院及基层医疗终端；国际市场方面，以“海外商业化平台”模式推进，具备多国同步注册到本地化销售的全链条能力，海外商业化网络覆盖约70个国家和地区，出海产品白蛋白紫杉醇已在欧盟、英国上市，多个引进/自有产品持续提交海外注册。2024年，公司产品国内发货数量同比增长超过50%，实现“开门红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根据米内网及弗若斯特沙利文数据：赛若金在国内短效人干扰素α1b市场占有率自2019年起连续六年排名第一（2024年约55.2%）；依普定在国内人促红素市场2024年份额约16.7%、连续四年第二；类停（英夫利西单抗）国内市场份额第二；白特喜、常乐康在各自细分市场位居前列。整体看，公司核心品种在国内细分领域具备稳固的领先位势，但面临集采与医保控费带来的价格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主要会计数据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13.16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12.59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14.07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-0.90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-1.90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0.31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-0.97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-2.01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0.35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75.37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70.79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68.69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42.94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46.20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48.16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-0.86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-0.87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1.07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31.59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30.31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31.62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18.08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16.31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16.39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注：上述数据来源于公司2022年、2023年、2024年年度报告（单位已折算为亿元，保留两位至四位小数）。2022年、2023年归母净资产分别为年度报告披露值及据资产负债表测算值；2024年经营现金流净额同比由负转正。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毛利率长期维持在较高水平（2022年75.37%、2023年70.79%、2024年68.69%），体现生物药高附加值特征，但受医保控费、部分产品纳入省际集采及价格调整影响，毛利率呈逐年小幅下行趋势。盈利端，公司2022年、2023年连续亏损（归母净利润分别为-0.90亿元、-1.90亿元），主要系研发投入及财务费用增加、市场推广费用高企所致；2024年实现营业收入14.07亿元（同比+11.75%），归母净利润0.31亿元、扣非净利润0.35亿元，同比扭亏为盈，加权平均净资产收益率1.94%。2024年研发投入1.99亿元，占营业收入14.14%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，公司应收票据及应收账款较上年末增加75.19%，占总资产比重上升6.4个百分点，需关注回款与信用减值风险；存货账面价值1.42亿元（占净资产8.67%），计提跌价准备192.74万元（计提比例1.34%）；固定资产较上年末增加21.15%，反映产能建设投入。整体资产以生产性生物药资产为主，质量较好但应收账款增长较快值得跟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由2022年42.94%升至2024年48.16%，仍处合理区间。2024年末短期借款较上年末增加122.96%，长期借款减少12.17%，债务结构短期化；但现金比率、流动比率仍保持相对健康（2024年流动比率约1.45、速动比率约1.29）。公司有息负债规模可控，偿债压力总体有限，但需关注短期借款上升带来的利息支出与流动性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：2022年、2023年均为净流出（-0.86亿元、-0.87亿元），主因战略备货及研发、渠道建设等经营性支出增加；2024年转正为净流入1.07亿元（销售回款改善）。投资活动现金流持续净流出（2024年-1.04亿元），主要用于产能与研发项目建设；筹资活动现金流2024年净流出0.11亿元。整体现金流随盈利修复而改善，但历史波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A股其他生物制品上市公司相比，科兴制药毛利率处于行业中上水平，但营收规模偏小、净利润率受费用拖累波动大；研发投入强度（占营收约14%）高于多数同类可比公司，体现“创新+出海”双轮驱动战略。纵向看，公司正从“高投入亏损期”向“扭亏兑现期”过渡，2024年盈利转正为关键拐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海证券交易所科创板上市公司，已建立由股东大会、董事会、监事会及经营管理层组成的法人治理结构。董事会设董事长（邓学勤），现任总经理为赵彦轻，董事会秘书兼财务总监为王小琴，独立董事3名。审计机构先后为大华会计师事务所（特殊普通合伙）、致同会计师事务所（特殊普通合伙）。公司2022年曾收到上交所关于年度报告的监管问询函，已会同中介机构逐一核查回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法定代表人邓学勤，同时为深圳正中投资集团董事长、总经理，系公司实际控制人，具备医药与资本运作复合背景；总经理赵彦轻负责日常经营；董事会秘书、财务总监王小琴统筹信息披露与财务管理。核心管理团队稳定，具备生物药产业化与国际化运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2021年上线SAP系统细化产品成本核算，建立了覆盖研发、采购、生产、销售、财务的内部控制体系。作为科创板上市公司，公司严格执行信息披露、关联交易、募集资金管理等内控规范，并持续接受保荐机构（中信建投证券）持续督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2023年末，公司在职员工1,046人，人均创收120.37万元，人均薪酬23.90万元；研发人员规模及占比持续提升，支撑创新药管线推进。公司建立了与研发产出挂钩的激励机制，并通过员工持股平台（深圳恒健、深圳裕早）绑定核心团队利益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技术与平台壁垒：公司拥有“重组蛋白药物产业化技术平台”等自主核心技术，多个产品源自国家科技进步一等奖产业化成果，具备从药物发现到产业化的全链条能力。2. 产品市场领先地位：赛若金、依普定等核心品种在国内细分市场占有率多年居前，形成品牌与渠道壁垒。3. 海外商业化网络：覆盖约70个国家和地区的注册与销售能力，构成差异化出海护城河。4. 准入与医保壁垒：核心产品纳入国家基药、医保目录，形成支付端优势。5. 研发管线梯队：在研生物药项目持续推进，形成中长期产品接力。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行业政策风险：国家医保控费、药品集中带量采购范围扩大，可能导致核心产品价格进一步下降，挤压毛利。2. 经营风险：部分产品受集采与价格调整影响收入波动；应收账款2024年大幅上升，存在回款与减值风险；海外市场受地缘政治、汇率波动影响。3. 财务风险：公司2022—2023年连续亏损，经营现金流曾持续为负，短期借款上升，盈利稳定性与现金流管理仍需加强。4. 合规风险：公司销售费用率较高（2022年销售费用8.28亿元，占营收62.9%，其中市场推广费7.07亿元），曾受监管问询，需持续规范推广费用与学术活动合规。5. 研发风险：创新药管线临床与商业化存在不确定性，研发投入回报周期长。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公司通过全业务流程精益管理降低销售与生产成本；优化产品组合、加快海外放量以改善现金流；审慎制定推广策略、强化合规内控；推进AH上市与再融资以拓宽资本来源；聚焦高壁垒品种研发以提升抗风险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作为注册于山东章丘的科创板上市生物药企业，科兴制药在产能扩建、研发管线推进及海外商业化网络建设中具备多元融资需求，可与山东投资在以下方向协同：1. 供应链金融：针对原料、包材采购环节，提供应收账款保理与订单融资，盘活营运资金；2. 融资租赁：针对章丘基地产能建设所需高端生物制药设备，开展设备融资租赁；3. 保理业务：以对医院及海外客户的应收账款为基础资产开展有追索/无追索保理；4. 小额贷款：为上下游中小配套企业提供流动性支持。同时可探讨以产业基金形式参与公司创新药管线或出海平台的股权/夹层投资。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科兴制药是山东章丘医药及防护用品集群的生物制药龙头，核心品种在细分市场居领先地位，研发与出海双轮驱动战略清晰，2024年已实现扭亏为盈，财务拐点显现。但公司仍面临集采降价、费用率高企、现金流波动及研发不确定性等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依托“A+H”上市推进、海外商业化网络扩张及在研管线兑现，公司有望进入规模化盈利阶段；据公司规划与行业趋势，出海与引进品种将成为新增长极。建议：一是强化经营现金流与应收账款管理，提升盈利质量；二是优化销售费用结构、筑牢合规底线；三是把握山东本土医药产业资源，深化与山东投资在供应链金融、融资租赁及产业基金方面的协同，助力产能与研发落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数据来源包括：科兴生物制药股份有限公司2022年、2023年、2024年年度报告（上海证券交易所/巨潮网）；公司2024年向香港联交所递交的招股书（上海证券报报道）；上交所/巨潮网相关公告（业绩快报、问询函回复等）；天眼查、企查查工商与股权信息；公司官网（kexing.com）产品与新闻中心；中国证券报、上海证券报、证券时报、中国经济网、搜狐财经等公开报道。非公开前瞻性表述以公司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